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E4C62" w14:textId="68C0B4C1" w:rsidR="00E718C1" w:rsidRPr="00B02165" w:rsidRDefault="00E718C1" w:rsidP="00E718C1">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Pr>
          <w:rFonts w:ascii="Arial" w:eastAsia="ＭＳ 明朝" w:hAnsi="Arial" w:cs="Arial" w:hint="eastAsia"/>
          <w:b/>
          <w:bCs/>
          <w:noProof/>
          <w:sz w:val="28"/>
          <w:lang w:val="en-US" w:eastAsia="ja-JP"/>
        </w:rPr>
        <w:t>#88bis</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AA488E" w:rsidRPr="00AA488E">
        <w:rPr>
          <w:rFonts w:ascii="Arial" w:eastAsia="ＭＳ 明朝" w:hAnsi="Arial" w:cs="Arial"/>
          <w:b/>
          <w:bCs/>
          <w:noProof/>
          <w:sz w:val="28"/>
          <w:lang w:val="en-US" w:eastAsia="ja-JP"/>
        </w:rPr>
        <w:t>R4-1812709</w:t>
      </w:r>
    </w:p>
    <w:p w14:paraId="33C507FF" w14:textId="77777777" w:rsidR="00E718C1" w:rsidRPr="00B02165" w:rsidRDefault="00E718C1" w:rsidP="00E718C1">
      <w:pPr>
        <w:pStyle w:val="CRCoverPage"/>
        <w:tabs>
          <w:tab w:val="right" w:pos="9639"/>
        </w:tabs>
        <w:spacing w:after="0"/>
        <w:jc w:val="both"/>
        <w:rPr>
          <w:rFonts w:eastAsia="ＭＳ 明朝" w:cs="Arial"/>
          <w:b/>
          <w:bCs/>
          <w:noProof/>
          <w:sz w:val="28"/>
          <w:lang w:val="en-US" w:eastAsia="ja-JP"/>
        </w:rPr>
      </w:pPr>
      <w:r w:rsidRPr="00547C3C">
        <w:rPr>
          <w:rFonts w:eastAsia="ＭＳ 明朝" w:cs="Arial"/>
          <w:b/>
          <w:bCs/>
          <w:noProof/>
          <w:sz w:val="28"/>
          <w:lang w:val="en-US" w:eastAsia="ja-JP"/>
        </w:rPr>
        <w:t>Chengdu</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China</w:t>
      </w:r>
      <w:r w:rsidRPr="00B02165">
        <w:rPr>
          <w:rFonts w:eastAsia="ＭＳ 明朝" w:cs="Arial"/>
          <w:b/>
          <w:bCs/>
          <w:noProof/>
          <w:sz w:val="28"/>
          <w:lang w:val="en-US" w:eastAsia="ja-JP"/>
        </w:rPr>
        <w:t xml:space="preserve">, </w:t>
      </w:r>
      <w:r>
        <w:rPr>
          <w:rFonts w:eastAsia="ＭＳ 明朝" w:cs="Arial" w:hint="eastAsia"/>
          <w:b/>
          <w:bCs/>
          <w:noProof/>
          <w:sz w:val="28"/>
          <w:lang w:val="en-US" w:eastAsia="ja-JP"/>
        </w:rPr>
        <w:t>8</w:t>
      </w:r>
      <w:r w:rsidRPr="003C39BA">
        <w:rPr>
          <w:rFonts w:eastAsia="ＭＳ 明朝" w:cs="Arial" w:hint="eastAsia"/>
          <w:b/>
          <w:bCs/>
          <w:noProof/>
          <w:sz w:val="28"/>
          <w:vertAlign w:val="superscript"/>
          <w:lang w:val="en-US" w:eastAsia="ja-JP"/>
        </w:rPr>
        <w:t>th</w:t>
      </w:r>
      <w:r>
        <w:rPr>
          <w:rFonts w:eastAsia="ＭＳ 明朝" w:cs="Arial"/>
          <w:b/>
          <w:bCs/>
          <w:noProof/>
          <w:sz w:val="28"/>
          <w:lang w:val="en-US" w:eastAsia="ja-JP"/>
        </w:rPr>
        <w:t xml:space="preserve"> – </w:t>
      </w:r>
      <w:r>
        <w:rPr>
          <w:rFonts w:eastAsia="ＭＳ 明朝" w:cs="Arial" w:hint="eastAsia"/>
          <w:b/>
          <w:bCs/>
          <w:noProof/>
          <w:sz w:val="28"/>
          <w:lang w:val="en-US" w:eastAsia="ja-JP"/>
        </w:rPr>
        <w:t>12</w:t>
      </w:r>
      <w:r w:rsidRPr="00B02165">
        <w:rPr>
          <w:rFonts w:eastAsia="ＭＳ 明朝" w:cs="Arial"/>
          <w:b/>
          <w:bCs/>
          <w:noProof/>
          <w:sz w:val="28"/>
          <w:vertAlign w:val="superscript"/>
          <w:lang w:val="en-US" w:eastAsia="ja-JP"/>
        </w:rPr>
        <w:t>th</w:t>
      </w:r>
      <w:r w:rsidRPr="00B02165">
        <w:rPr>
          <w:rFonts w:eastAsia="ＭＳ 明朝" w:cs="Arial"/>
          <w:b/>
          <w:bCs/>
          <w:noProof/>
          <w:sz w:val="28"/>
          <w:lang w:val="en-US" w:eastAsia="ja-JP"/>
        </w:rPr>
        <w:t xml:space="preserve"> </w:t>
      </w:r>
      <w:r>
        <w:rPr>
          <w:rFonts w:eastAsia="ＭＳ 明朝" w:cs="Arial"/>
          <w:b/>
          <w:bCs/>
          <w:noProof/>
          <w:sz w:val="28"/>
          <w:lang w:val="en-US" w:eastAsia="ja-JP"/>
        </w:rPr>
        <w:t>October</w:t>
      </w:r>
      <w:r w:rsidRPr="00B02165">
        <w:rPr>
          <w:rFonts w:eastAsia="ＭＳ 明朝" w:cs="Arial"/>
          <w:b/>
          <w:bCs/>
          <w:noProof/>
          <w:sz w:val="28"/>
          <w:lang w:val="en-US" w:eastAsia="ja-JP"/>
        </w:rPr>
        <w:t xml:space="preserve"> 2018</w:t>
      </w:r>
    </w:p>
    <w:p w14:paraId="023510CF" w14:textId="77777777" w:rsidR="00400135" w:rsidRPr="00E718C1" w:rsidRDefault="00400135" w:rsidP="00400135">
      <w:pPr>
        <w:pStyle w:val="CRCoverPage"/>
        <w:tabs>
          <w:tab w:val="right" w:pos="9639"/>
        </w:tabs>
        <w:spacing w:after="0"/>
        <w:jc w:val="both"/>
        <w:rPr>
          <w:rFonts w:eastAsia="ＭＳ 明朝" w:cs="Arial"/>
          <w:b/>
          <w:sz w:val="24"/>
          <w:szCs w:val="24"/>
          <w:lang w:val="en-US" w:eastAsia="ja-JP"/>
        </w:rPr>
      </w:pPr>
    </w:p>
    <w:p w14:paraId="48D29497" w14:textId="77777777"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rPr>
      </w:pPr>
      <w:r w:rsidRPr="001F4960">
        <w:rPr>
          <w:rFonts w:ascii="Arial" w:eastAsia="ＭＳ ゴシック" w:hAnsi="Arial"/>
          <w:b/>
          <w:sz w:val="24"/>
          <w:lang w:val="en-US"/>
        </w:rPr>
        <w:t xml:space="preserve">Source: </w:t>
      </w:r>
      <w:r w:rsidRPr="001F4960">
        <w:rPr>
          <w:rFonts w:ascii="Arial" w:eastAsia="ＭＳ ゴシック" w:hAnsi="Arial"/>
          <w:b/>
          <w:sz w:val="24"/>
          <w:lang w:val="en-US"/>
        </w:rPr>
        <w:tab/>
        <w:t>NTT DOCOMO, INC.</w:t>
      </w:r>
    </w:p>
    <w:p w14:paraId="519B31F5" w14:textId="63E78209" w:rsidR="00400135" w:rsidRPr="00E718C1" w:rsidRDefault="00400135" w:rsidP="00400135">
      <w:pPr>
        <w:pStyle w:val="a5"/>
        <w:widowControl w:val="0"/>
        <w:tabs>
          <w:tab w:val="clear" w:pos="4252"/>
          <w:tab w:val="clear" w:pos="8504"/>
        </w:tabs>
        <w:snapToGrid/>
        <w:ind w:left="1800" w:hanging="1800"/>
        <w:jc w:val="both"/>
        <w:rPr>
          <w:rFonts w:ascii="Arial" w:eastAsia="ＭＳ ゴシック" w:hAnsi="Arial"/>
          <w:b/>
          <w:sz w:val="24"/>
          <w:highlight w:val="yellow"/>
          <w:lang w:val="en-US" w:eastAsia="ja-JP"/>
        </w:rPr>
      </w:pPr>
      <w:r w:rsidRPr="001F4960">
        <w:rPr>
          <w:rFonts w:ascii="Arial" w:eastAsia="ＭＳ ゴシック" w:hAnsi="Arial"/>
          <w:b/>
          <w:sz w:val="24"/>
          <w:lang w:val="en-US"/>
        </w:rPr>
        <w:t xml:space="preserve">Title: </w:t>
      </w:r>
      <w:r w:rsidRPr="001F4960">
        <w:rPr>
          <w:rFonts w:ascii="Arial" w:eastAsia="ＭＳ ゴシック" w:hAnsi="Arial"/>
          <w:b/>
          <w:sz w:val="24"/>
          <w:lang w:val="en-US"/>
        </w:rPr>
        <w:tab/>
      </w:r>
      <w:r w:rsidR="00912F44" w:rsidRPr="00AA488E">
        <w:rPr>
          <w:rFonts w:ascii="Arial" w:eastAsia="ＭＳ ゴシック" w:hAnsi="Arial"/>
          <w:b/>
          <w:sz w:val="24"/>
          <w:lang w:val="en-US" w:eastAsia="ja-JP"/>
        </w:rPr>
        <w:t>Remaining issues</w:t>
      </w:r>
      <w:r w:rsidR="00AA0EE1" w:rsidRPr="00AA488E">
        <w:rPr>
          <w:rFonts w:ascii="Arial" w:eastAsia="ＭＳ ゴシック" w:hAnsi="Arial"/>
          <w:b/>
          <w:sz w:val="24"/>
          <w:lang w:val="en-US" w:eastAsia="ja-JP"/>
        </w:rPr>
        <w:t xml:space="preserve"> on </w:t>
      </w:r>
      <w:r w:rsidR="00927A3F" w:rsidRPr="00AA488E">
        <w:rPr>
          <w:rFonts w:ascii="Arial" w:eastAsia="ＭＳ ゴシック" w:hAnsi="Arial"/>
          <w:b/>
          <w:sz w:val="24"/>
          <w:lang w:val="en-US" w:eastAsia="ja-JP"/>
        </w:rPr>
        <w:t>requirements of inter-frequency measurement</w:t>
      </w:r>
    </w:p>
    <w:p w14:paraId="49D87153" w14:textId="2A8746A8"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eastAsia="ja-JP"/>
        </w:rPr>
      </w:pPr>
      <w:r w:rsidRPr="000A43DD">
        <w:rPr>
          <w:rFonts w:ascii="Arial" w:eastAsia="ＭＳ ゴシック" w:hAnsi="Arial"/>
          <w:b/>
          <w:sz w:val="24"/>
          <w:lang w:val="en-US"/>
        </w:rPr>
        <w:t>Agenda item:</w:t>
      </w:r>
      <w:r w:rsidRPr="000A43DD">
        <w:rPr>
          <w:rFonts w:ascii="Arial" w:eastAsia="ＭＳ ゴシック" w:hAnsi="Arial"/>
          <w:b/>
          <w:sz w:val="24"/>
          <w:lang w:val="en-US"/>
        </w:rPr>
        <w:tab/>
      </w:r>
      <w:r w:rsidR="002D7519" w:rsidRPr="000A43DD">
        <w:rPr>
          <w:rFonts w:ascii="Arial" w:eastAsia="ＭＳ ゴシック" w:hAnsi="Arial" w:hint="eastAsia"/>
          <w:b/>
          <w:sz w:val="24"/>
          <w:lang w:val="en-US" w:eastAsia="ja-JP"/>
        </w:rPr>
        <w:t>7.11.3.3</w:t>
      </w:r>
    </w:p>
    <w:p w14:paraId="0F805785" w14:textId="77777777" w:rsidR="00400135" w:rsidRPr="001F4960"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rPr>
      </w:pPr>
      <w:r w:rsidRPr="001F4960">
        <w:rPr>
          <w:rFonts w:ascii="Arial" w:eastAsia="ＭＳ ゴシック" w:hAnsi="Arial"/>
          <w:b/>
          <w:sz w:val="24"/>
          <w:lang w:val="en-US"/>
        </w:rPr>
        <w:t>Document for:</w:t>
      </w:r>
      <w:r w:rsidRPr="001F4960">
        <w:rPr>
          <w:rFonts w:ascii="Arial" w:eastAsia="ＭＳ ゴシック" w:hAnsi="Arial"/>
          <w:b/>
          <w:sz w:val="24"/>
          <w:lang w:val="en-US"/>
        </w:rPr>
        <w:tab/>
        <w:t>Discussion</w:t>
      </w:r>
    </w:p>
    <w:p w14:paraId="49AA3F0A" w14:textId="77777777" w:rsidR="00400135" w:rsidRPr="001F4960" w:rsidRDefault="00400135" w:rsidP="00400135">
      <w:pPr>
        <w:keepNext/>
        <w:keepLines/>
        <w:numPr>
          <w:ilvl w:val="0"/>
          <w:numId w:val="1"/>
        </w:numPr>
        <w:pBdr>
          <w:top w:val="single" w:sz="12" w:space="3" w:color="auto"/>
        </w:pBdr>
        <w:spacing w:before="240" w:after="180"/>
        <w:jc w:val="both"/>
        <w:outlineLvl w:val="0"/>
        <w:rPr>
          <w:rFonts w:ascii="Arial" w:hAnsi="Arial"/>
          <w:sz w:val="32"/>
          <w:lang w:val="en-US" w:eastAsia="zh-CN"/>
        </w:rPr>
      </w:pPr>
      <w:r w:rsidRPr="001F4960">
        <w:rPr>
          <w:rFonts w:ascii="Arial" w:hAnsi="Arial"/>
          <w:sz w:val="32"/>
          <w:lang w:val="en-US" w:eastAsia="zh-CN"/>
        </w:rPr>
        <w:t>Introduction</w:t>
      </w:r>
    </w:p>
    <w:p w14:paraId="41B1D461" w14:textId="26FDF40A" w:rsidR="007C0F42" w:rsidRPr="001D53B5" w:rsidRDefault="001D53B5" w:rsidP="001E10D2">
      <w:pPr>
        <w:jc w:val="both"/>
        <w:rPr>
          <w:rFonts w:eastAsia="ＭＳ 明朝"/>
          <w:sz w:val="22"/>
          <w:lang w:eastAsia="ja-JP"/>
        </w:rPr>
      </w:pPr>
      <w:r w:rsidRPr="001D53B5">
        <w:rPr>
          <w:rFonts w:eastAsia="ＭＳ 明朝"/>
          <w:sz w:val="22"/>
          <w:lang w:eastAsia="ja-JP"/>
        </w:rPr>
        <w:t xml:space="preserve">In the previous RAN4 meetings, delay requirements of inter-frequency measurement have been discussed, but scaling factor considering different SMTC configurations on measured carriers is still under discussion. In addition, at the last RAN4 meeting, some agreements were made regarding requirement of intra-frequency measurement for FR2, and that of inter-frequency measurement could be derived </w:t>
      </w:r>
      <w:r w:rsidR="00AA488E">
        <w:rPr>
          <w:rFonts w:eastAsia="ＭＳ 明朝" w:hint="eastAsia"/>
          <w:sz w:val="22"/>
          <w:lang w:eastAsia="ja-JP"/>
        </w:rPr>
        <w:t xml:space="preserve">based on </w:t>
      </w:r>
      <w:r w:rsidRPr="001D53B5">
        <w:rPr>
          <w:rFonts w:eastAsia="ＭＳ 明朝"/>
          <w:sz w:val="22"/>
          <w:lang w:eastAsia="ja-JP"/>
        </w:rPr>
        <w:t>same methodology as intra-frequency measurement requirement. However, number of samples to calculate delay requirement</w:t>
      </w:r>
      <w:r w:rsidR="00AA488E">
        <w:rPr>
          <w:rFonts w:eastAsia="ＭＳ 明朝" w:hint="eastAsia"/>
          <w:sz w:val="22"/>
          <w:lang w:eastAsia="ja-JP"/>
        </w:rPr>
        <w:t xml:space="preserve"> for inter-frequency measurement</w:t>
      </w:r>
      <w:r w:rsidRPr="001D53B5">
        <w:rPr>
          <w:rFonts w:eastAsia="ＭＳ 明朝"/>
          <w:sz w:val="22"/>
          <w:lang w:eastAsia="ja-JP"/>
        </w:rPr>
        <w:t xml:space="preserve"> has not </w:t>
      </w:r>
      <w:r w:rsidR="002B163E">
        <w:rPr>
          <w:rFonts w:eastAsia="ＭＳ 明朝" w:hint="eastAsia"/>
          <w:sz w:val="22"/>
          <w:lang w:eastAsia="ja-JP"/>
        </w:rPr>
        <w:t xml:space="preserve">been </w:t>
      </w:r>
      <w:r w:rsidRPr="001D53B5">
        <w:rPr>
          <w:rFonts w:eastAsia="ＭＳ 明朝"/>
          <w:sz w:val="22"/>
          <w:lang w:eastAsia="ja-JP"/>
        </w:rPr>
        <w:t xml:space="preserve">well discussed </w:t>
      </w:r>
      <w:bookmarkStart w:id="0" w:name="_GoBack"/>
      <w:bookmarkEnd w:id="0"/>
      <w:r w:rsidRPr="001D53B5">
        <w:rPr>
          <w:rFonts w:eastAsia="ＭＳ 明朝"/>
          <w:sz w:val="22"/>
          <w:lang w:eastAsia="ja-JP"/>
        </w:rPr>
        <w:t>yet. In this contribution, we provide our views on remaining issues</w:t>
      </w:r>
      <w:r w:rsidR="005751A0">
        <w:rPr>
          <w:rFonts w:eastAsia="ＭＳ 明朝" w:hint="eastAsia"/>
          <w:sz w:val="22"/>
          <w:lang w:eastAsia="ja-JP"/>
        </w:rPr>
        <w:t xml:space="preserve"> </w:t>
      </w:r>
      <w:r w:rsidR="002B163E">
        <w:rPr>
          <w:rFonts w:eastAsia="ＭＳ 明朝" w:hint="eastAsia"/>
          <w:sz w:val="22"/>
          <w:lang w:eastAsia="ja-JP"/>
        </w:rPr>
        <w:t xml:space="preserve">on </w:t>
      </w:r>
      <w:r w:rsidRPr="001D53B5">
        <w:rPr>
          <w:rFonts w:eastAsia="ＭＳ 明朝"/>
          <w:sz w:val="22"/>
          <w:lang w:eastAsia="ja-JP"/>
        </w:rPr>
        <w:t>requirements of inter-frequency measurement.</w:t>
      </w:r>
    </w:p>
    <w:p w14:paraId="1A158FFC" w14:textId="77777777" w:rsidR="00400135" w:rsidRPr="001F4960" w:rsidRDefault="00400135" w:rsidP="00400135">
      <w:pPr>
        <w:keepNext/>
        <w:keepLines/>
        <w:numPr>
          <w:ilvl w:val="0"/>
          <w:numId w:val="1"/>
        </w:numPr>
        <w:pBdr>
          <w:top w:val="single" w:sz="12" w:space="3" w:color="auto"/>
        </w:pBdr>
        <w:spacing w:before="240" w:after="180"/>
        <w:jc w:val="both"/>
        <w:outlineLvl w:val="0"/>
        <w:rPr>
          <w:rFonts w:ascii="Arial" w:eastAsiaTheme="minorEastAsia" w:hAnsi="Arial"/>
          <w:sz w:val="32"/>
          <w:lang w:val="en-US" w:eastAsia="ja-JP"/>
        </w:rPr>
      </w:pPr>
      <w:r w:rsidRPr="001F4960">
        <w:rPr>
          <w:rFonts w:ascii="Arial" w:eastAsiaTheme="minorEastAsia" w:hAnsi="Arial"/>
          <w:sz w:val="32"/>
          <w:lang w:val="en-US" w:eastAsia="ja-JP"/>
        </w:rPr>
        <w:t>Discussion</w:t>
      </w:r>
    </w:p>
    <w:p w14:paraId="4C680261" w14:textId="77777777" w:rsidR="004C0BCB" w:rsidRPr="004C0BCB" w:rsidRDefault="004C0BCB" w:rsidP="004C0BCB">
      <w:pPr>
        <w:pStyle w:val="2"/>
        <w:numPr>
          <w:ilvl w:val="0"/>
          <w:numId w:val="33"/>
        </w:numPr>
        <w:spacing w:after="240"/>
        <w:rPr>
          <w:rFonts w:ascii="Times New Roman" w:hAnsi="Times New Roman" w:cs="Times New Roman"/>
          <w:sz w:val="22"/>
          <w:lang w:val="en-US" w:eastAsia="ja-JP"/>
        </w:rPr>
      </w:pPr>
      <w:r w:rsidRPr="004C0BCB">
        <w:rPr>
          <w:rFonts w:ascii="Times New Roman" w:hAnsi="Times New Roman" w:cs="Times New Roman"/>
          <w:sz w:val="22"/>
          <w:lang w:val="en-US" w:eastAsia="ja-JP"/>
        </w:rPr>
        <w:t>Delay requirement for FR2</w:t>
      </w:r>
    </w:p>
    <w:p w14:paraId="5106EA4D" w14:textId="61A3D5B4" w:rsidR="00E57675" w:rsidRDefault="004C0BCB" w:rsidP="00A53D4D">
      <w:pPr>
        <w:spacing w:after="240"/>
        <w:jc w:val="both"/>
        <w:rPr>
          <w:rFonts w:eastAsiaTheme="minorEastAsia"/>
          <w:sz w:val="22"/>
          <w:lang w:val="en-US" w:eastAsia="ja-JP"/>
        </w:rPr>
      </w:pPr>
      <w:r w:rsidRPr="004C0BCB">
        <w:rPr>
          <w:rFonts w:eastAsiaTheme="minorEastAsia"/>
          <w:sz w:val="22"/>
          <w:lang w:val="en-US" w:eastAsia="ja-JP"/>
        </w:rPr>
        <w:t xml:space="preserve">At the last RAN4 meeting, it was agreed that delay requirements for intra-frequency measurement in FR2 were defined according to power class (PC) supported by </w:t>
      </w:r>
      <w:r w:rsidR="00AA488E" w:rsidRPr="004C0BCB">
        <w:rPr>
          <w:rFonts w:eastAsiaTheme="minorEastAsia"/>
          <w:sz w:val="22"/>
          <w:lang w:val="en-US" w:eastAsia="ja-JP"/>
        </w:rPr>
        <w:t>th</w:t>
      </w:r>
      <w:r w:rsidR="00AA488E">
        <w:rPr>
          <w:rFonts w:eastAsiaTheme="minorEastAsia" w:hint="eastAsia"/>
          <w:sz w:val="22"/>
          <w:lang w:val="en-US" w:eastAsia="ja-JP"/>
        </w:rPr>
        <w:t>e</w:t>
      </w:r>
      <w:r w:rsidR="00AA488E" w:rsidRPr="004C0BCB">
        <w:rPr>
          <w:rFonts w:eastAsiaTheme="minorEastAsia"/>
          <w:sz w:val="22"/>
          <w:lang w:val="en-US" w:eastAsia="ja-JP"/>
        </w:rPr>
        <w:t xml:space="preserve"> </w:t>
      </w:r>
      <w:r w:rsidRPr="004C0BCB">
        <w:rPr>
          <w:rFonts w:eastAsiaTheme="minorEastAsia"/>
          <w:sz w:val="22"/>
          <w:lang w:val="en-US" w:eastAsia="ja-JP"/>
        </w:rPr>
        <w:t xml:space="preserve">UE, and number of samples to calculate </w:t>
      </w:r>
      <w:r w:rsidR="00386F79">
        <w:rPr>
          <w:rFonts w:eastAsiaTheme="minorEastAsia" w:hint="eastAsia"/>
          <w:sz w:val="22"/>
          <w:lang w:val="en-US" w:eastAsia="ja-JP"/>
        </w:rPr>
        <w:t xml:space="preserve">PSS/SSS </w:t>
      </w:r>
      <w:r w:rsidR="00386F79">
        <w:rPr>
          <w:rFonts w:eastAsiaTheme="minorEastAsia"/>
          <w:sz w:val="22"/>
          <w:lang w:val="en-US" w:eastAsia="ja-JP"/>
        </w:rPr>
        <w:t>synchronization</w:t>
      </w:r>
      <w:r w:rsidR="00386F79">
        <w:rPr>
          <w:rFonts w:eastAsiaTheme="minorEastAsia" w:hint="eastAsia"/>
          <w:sz w:val="22"/>
          <w:lang w:val="en-US" w:eastAsia="ja-JP"/>
        </w:rPr>
        <w:t xml:space="preserve"> and RSRP measurement</w:t>
      </w:r>
      <w:r w:rsidRPr="004C0BCB">
        <w:rPr>
          <w:rFonts w:eastAsiaTheme="minorEastAsia"/>
          <w:sz w:val="22"/>
          <w:lang w:val="en-US" w:eastAsia="ja-JP"/>
        </w:rPr>
        <w:t xml:space="preserve"> </w:t>
      </w:r>
      <w:r w:rsidR="00AA488E">
        <w:rPr>
          <w:rFonts w:eastAsiaTheme="minorEastAsia" w:hint="eastAsia"/>
          <w:sz w:val="22"/>
          <w:lang w:val="en-US" w:eastAsia="ja-JP"/>
        </w:rPr>
        <w:t>was</w:t>
      </w:r>
      <w:r w:rsidR="00AA488E" w:rsidRPr="004C0BCB">
        <w:rPr>
          <w:rFonts w:eastAsiaTheme="minorEastAsia"/>
          <w:sz w:val="22"/>
          <w:lang w:val="en-US" w:eastAsia="ja-JP"/>
        </w:rPr>
        <w:t xml:space="preserve"> </w:t>
      </w:r>
      <w:r w:rsidRPr="004C0BCB">
        <w:rPr>
          <w:rFonts w:eastAsiaTheme="minorEastAsia"/>
          <w:sz w:val="22"/>
          <w:lang w:val="en-US" w:eastAsia="ja-JP"/>
        </w:rPr>
        <w:t xml:space="preserve">also agreed for PC1, 2, and 3, that for PC4 is still TBD, though. </w:t>
      </w:r>
    </w:p>
    <w:tbl>
      <w:tblPr>
        <w:tblStyle w:val="ac"/>
        <w:tblW w:w="0" w:type="auto"/>
        <w:tblLook w:val="04A0" w:firstRow="1" w:lastRow="0" w:firstColumn="1" w:lastColumn="0" w:noHBand="0" w:noVBand="1"/>
      </w:tblPr>
      <w:tblGrid>
        <w:gridCol w:w="10062"/>
      </w:tblGrid>
      <w:tr w:rsidR="00E57675" w14:paraId="31CCD3CE" w14:textId="77777777" w:rsidTr="00E57675">
        <w:tc>
          <w:tcPr>
            <w:tcW w:w="10062" w:type="dxa"/>
          </w:tcPr>
          <w:p w14:paraId="577C8F67" w14:textId="36C12928" w:rsidR="00E57675" w:rsidRPr="00E57675" w:rsidRDefault="00E57675" w:rsidP="00E57675">
            <w:pPr>
              <w:spacing w:before="240" w:after="240"/>
              <w:jc w:val="both"/>
              <w:rPr>
                <w:rFonts w:eastAsiaTheme="minorEastAsia"/>
                <w:sz w:val="22"/>
                <w:u w:val="single"/>
                <w:lang w:eastAsia="ja-JP"/>
              </w:rPr>
            </w:pPr>
            <w:r w:rsidRPr="00AA488E">
              <w:rPr>
                <w:rFonts w:eastAsiaTheme="minorEastAsia" w:hint="eastAsia"/>
                <w:sz w:val="22"/>
                <w:u w:val="single"/>
                <w:lang w:eastAsia="ja-JP"/>
              </w:rPr>
              <w:t>TS38.133</w:t>
            </w:r>
            <w:r w:rsidR="005350CB" w:rsidRPr="00AA488E">
              <w:rPr>
                <w:rFonts w:eastAsiaTheme="minorEastAsia" w:hint="eastAsia"/>
                <w:sz w:val="22"/>
                <w:u w:val="single"/>
                <w:lang w:eastAsia="ja-JP"/>
              </w:rPr>
              <w:t xml:space="preserve"> [1]</w:t>
            </w:r>
          </w:p>
          <w:p w14:paraId="609641F3" w14:textId="77777777" w:rsidR="00E57675" w:rsidRPr="005931F0" w:rsidRDefault="00E57675" w:rsidP="00E57675">
            <w:pPr>
              <w:keepNext/>
              <w:keepLines/>
              <w:spacing w:before="60"/>
              <w:jc w:val="center"/>
              <w:outlineLvl w:val="0"/>
            </w:pPr>
            <w:r w:rsidRPr="005931F0">
              <w:rPr>
                <w:rFonts w:ascii="Arial" w:hAnsi="Arial"/>
                <w:b/>
              </w:rPr>
              <w:t>Table 9.</w:t>
            </w:r>
            <w:r>
              <w:rPr>
                <w:rFonts w:ascii="Arial" w:hAnsi="Arial"/>
                <w:b/>
              </w:rPr>
              <w:t>3.4</w:t>
            </w:r>
            <w:r w:rsidRPr="005931F0">
              <w:rPr>
                <w:rFonts w:ascii="Arial" w:hAnsi="Arial"/>
                <w:b/>
              </w:rPr>
              <w:t>-2: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7675" w:rsidRPr="00F56084" w14:paraId="553DC860" w14:textId="77777777" w:rsidTr="00E81D92">
              <w:tc>
                <w:tcPr>
                  <w:tcW w:w="4620" w:type="dxa"/>
                  <w:shd w:val="clear" w:color="auto" w:fill="auto"/>
                </w:tcPr>
                <w:p w14:paraId="7F6CF7D1" w14:textId="77777777" w:rsidR="00E57675" w:rsidRPr="00F56084" w:rsidRDefault="00E57675" w:rsidP="00E81D92">
                  <w:pPr>
                    <w:keepNext/>
                    <w:keepLines/>
                    <w:jc w:val="center"/>
                    <w:rPr>
                      <w:rFonts w:ascii="Arial" w:hAnsi="Arial"/>
                      <w:b/>
                      <w:sz w:val="18"/>
                    </w:rPr>
                  </w:pPr>
                  <w:r w:rsidRPr="00F56084">
                    <w:rPr>
                      <w:rFonts w:ascii="Arial" w:hAnsi="Arial"/>
                      <w:b/>
                      <w:sz w:val="18"/>
                    </w:rPr>
                    <w:t>Condition</w:t>
                  </w:r>
                </w:p>
              </w:tc>
              <w:tc>
                <w:tcPr>
                  <w:tcW w:w="4621" w:type="dxa"/>
                  <w:shd w:val="clear" w:color="auto" w:fill="auto"/>
                </w:tcPr>
                <w:p w14:paraId="126C0663" w14:textId="77777777" w:rsidR="00E57675" w:rsidRPr="00F56084" w:rsidRDefault="00E57675" w:rsidP="00E81D92">
                  <w:pPr>
                    <w:keepNext/>
                    <w:keepLines/>
                    <w:jc w:val="center"/>
                    <w:rPr>
                      <w:rFonts w:ascii="Arial" w:hAnsi="Arial"/>
                      <w:b/>
                      <w:sz w:val="18"/>
                    </w:rPr>
                  </w:pPr>
                  <w:r w:rsidRPr="00F56084">
                    <w:rPr>
                      <w:rFonts w:ascii="Arial" w:hAnsi="Arial"/>
                      <w:b/>
                      <w:sz w:val="18"/>
                    </w:rPr>
                    <w:t>T</w:t>
                  </w:r>
                  <w:r w:rsidRPr="00F56084">
                    <w:rPr>
                      <w:rFonts w:ascii="Arial" w:hAnsi="Arial"/>
                      <w:b/>
                      <w:sz w:val="18"/>
                      <w:vertAlign w:val="subscript"/>
                    </w:rPr>
                    <w:t>PSS/</w:t>
                  </w:r>
                  <w:proofErr w:type="spellStart"/>
                  <w:r w:rsidRPr="00F56084">
                    <w:rPr>
                      <w:rFonts w:ascii="Arial" w:hAnsi="Arial"/>
                      <w:b/>
                      <w:sz w:val="18"/>
                      <w:vertAlign w:val="subscript"/>
                    </w:rPr>
                    <w:t>SSS_sync_inter</w:t>
                  </w:r>
                  <w:proofErr w:type="spellEnd"/>
                </w:p>
              </w:tc>
            </w:tr>
            <w:tr w:rsidR="00E57675" w:rsidRPr="00F56084" w14:paraId="1F33E6A2" w14:textId="77777777" w:rsidTr="00E81D92">
              <w:tc>
                <w:tcPr>
                  <w:tcW w:w="4620" w:type="dxa"/>
                  <w:shd w:val="clear" w:color="auto" w:fill="auto"/>
                </w:tcPr>
                <w:p w14:paraId="3E3CDE7F" w14:textId="77777777" w:rsidR="00E57675" w:rsidRPr="00F56084" w:rsidRDefault="00E57675" w:rsidP="00E81D92">
                  <w:pPr>
                    <w:keepNext/>
                    <w:keepLines/>
                    <w:jc w:val="center"/>
                  </w:pPr>
                  <w:r w:rsidRPr="00F56084">
                    <w:rPr>
                      <w:rFonts w:ascii="Arial" w:hAnsi="Arial"/>
                      <w:sz w:val="18"/>
                    </w:rPr>
                    <w:t>No DRX</w:t>
                  </w:r>
                </w:p>
              </w:tc>
              <w:tc>
                <w:tcPr>
                  <w:tcW w:w="4621" w:type="dxa"/>
                  <w:shd w:val="clear" w:color="auto" w:fill="auto"/>
                </w:tcPr>
                <w:p w14:paraId="40307CE3" w14:textId="77777777" w:rsidR="00E57675" w:rsidRPr="00F56084" w:rsidRDefault="00E57675" w:rsidP="00E81D92">
                  <w:pPr>
                    <w:keepNext/>
                    <w:keepLines/>
                    <w:jc w:val="center"/>
                  </w:pPr>
                  <w:r w:rsidRPr="00F56084">
                    <w:rPr>
                      <w:rFonts w:ascii="Arial" w:hAnsi="Arial"/>
                      <w:sz w:val="18"/>
                    </w:rPr>
                    <w:t xml:space="preserve"> max[ </w:t>
                  </w:r>
                  <w:r>
                    <w:rPr>
                      <w:rFonts w:ascii="Arial" w:hAnsi="Arial"/>
                      <w:sz w:val="18"/>
                    </w:rPr>
                    <w:t>600</w:t>
                  </w:r>
                  <w:r w:rsidRPr="00F56084">
                    <w:rPr>
                      <w:rFonts w:ascii="Arial" w:hAnsi="Arial"/>
                      <w:sz w:val="18"/>
                    </w:rPr>
                    <w:t xml:space="preserve">ms, </w:t>
                  </w:r>
                  <w:proofErr w:type="spellStart"/>
                  <w:r w:rsidRPr="00E57675">
                    <w:rPr>
                      <w:highlight w:val="yellow"/>
                    </w:rPr>
                    <w:t>M</w:t>
                  </w:r>
                  <w:r w:rsidRPr="00E57675">
                    <w:rPr>
                      <w:highlight w:val="yellow"/>
                      <w:vertAlign w:val="subscript"/>
                    </w:rPr>
                    <w:t>pss</w:t>
                  </w:r>
                  <w:proofErr w:type="spellEnd"/>
                  <w:r w:rsidRPr="00E57675">
                    <w:rPr>
                      <w:highlight w:val="yellow"/>
                      <w:vertAlign w:val="subscript"/>
                    </w:rPr>
                    <w:t>/</w:t>
                  </w:r>
                  <w:proofErr w:type="spellStart"/>
                  <w:r w:rsidRPr="00E57675">
                    <w:rPr>
                      <w:highlight w:val="yellow"/>
                      <w:vertAlign w:val="subscript"/>
                    </w:rPr>
                    <w:t>sss_sync_inter</w:t>
                  </w:r>
                  <w:proofErr w:type="spellEnd"/>
                  <w:r w:rsidRPr="00E81D92" w:rsidDel="002277DB">
                    <w:rPr>
                      <w:rFonts w:ascii="Arial" w:hAnsi="Arial"/>
                      <w:sz w:val="18"/>
                    </w:rPr>
                    <w:t xml:space="preserve"> </w:t>
                  </w:r>
                  <w:r w:rsidRPr="00F56084">
                    <w:rPr>
                      <w:rFonts w:ascii="Arial" w:hAnsi="Arial"/>
                      <w:sz w:val="18"/>
                    </w:rPr>
                    <w:t xml:space="preserve">x max[MGRP, SMTC period]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 xml:space="preserve"> Note 1, Note 2</w:t>
                  </w:r>
                </w:p>
              </w:tc>
            </w:tr>
            <w:tr w:rsidR="00E57675" w:rsidRPr="00F56084" w14:paraId="25EC6531" w14:textId="77777777" w:rsidTr="00E81D92">
              <w:tc>
                <w:tcPr>
                  <w:tcW w:w="4620" w:type="dxa"/>
                  <w:shd w:val="clear" w:color="auto" w:fill="auto"/>
                </w:tcPr>
                <w:p w14:paraId="2523AA59" w14:textId="77777777" w:rsidR="00E57675" w:rsidRPr="00F56084" w:rsidRDefault="00E57675" w:rsidP="00E81D92">
                  <w:pPr>
                    <w:keepNext/>
                    <w:keepLines/>
                    <w:jc w:val="center"/>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w:t>
                  </w:r>
                  <w:proofErr w:type="spellStart"/>
                  <w:r w:rsidRPr="00F56084">
                    <w:rPr>
                      <w:rFonts w:ascii="Arial" w:hAnsi="Arial"/>
                      <w:sz w:val="18"/>
                    </w:rPr>
                    <w:t>ms</w:t>
                  </w:r>
                  <w:proofErr w:type="spellEnd"/>
                </w:p>
              </w:tc>
              <w:tc>
                <w:tcPr>
                  <w:tcW w:w="4621" w:type="dxa"/>
                  <w:shd w:val="clear" w:color="auto" w:fill="auto"/>
                </w:tcPr>
                <w:p w14:paraId="644AD579" w14:textId="77777777" w:rsidR="00E57675" w:rsidRPr="00F56084" w:rsidRDefault="00E57675" w:rsidP="00E81D92">
                  <w:pPr>
                    <w:keepNext/>
                    <w:keepLines/>
                    <w:jc w:val="center"/>
                    <w:rPr>
                      <w:b/>
                    </w:rPr>
                  </w:pPr>
                  <w:r w:rsidRPr="00F56084">
                    <w:rPr>
                      <w:rFonts w:ascii="Arial" w:hAnsi="Arial"/>
                      <w:sz w:val="18"/>
                    </w:rPr>
                    <w:t xml:space="preserve">max[ </w:t>
                  </w:r>
                  <w:r>
                    <w:rPr>
                      <w:rFonts w:ascii="Arial" w:hAnsi="Arial"/>
                      <w:sz w:val="18"/>
                    </w:rPr>
                    <w:t>600</w:t>
                  </w:r>
                  <w:r w:rsidRPr="00F56084">
                    <w:rPr>
                      <w:rFonts w:ascii="Arial" w:hAnsi="Arial"/>
                      <w:sz w:val="18"/>
                    </w:rPr>
                    <w:t xml:space="preserve">ms, </w:t>
                  </w:r>
                  <w:proofErr w:type="spellStart"/>
                  <w:r w:rsidRPr="00E57675">
                    <w:rPr>
                      <w:highlight w:val="yellow"/>
                    </w:rPr>
                    <w:t>M</w:t>
                  </w:r>
                  <w:r w:rsidRPr="00E57675">
                    <w:rPr>
                      <w:highlight w:val="yellow"/>
                      <w:vertAlign w:val="subscript"/>
                    </w:rPr>
                    <w:t>pss</w:t>
                  </w:r>
                  <w:proofErr w:type="spellEnd"/>
                  <w:r w:rsidRPr="00E57675">
                    <w:rPr>
                      <w:highlight w:val="yellow"/>
                      <w:vertAlign w:val="subscript"/>
                    </w:rPr>
                    <w:t>/</w:t>
                  </w:r>
                  <w:proofErr w:type="spellStart"/>
                  <w:r w:rsidRPr="00E57675">
                    <w:rPr>
                      <w:highlight w:val="yellow"/>
                      <w:vertAlign w:val="subscript"/>
                    </w:rPr>
                    <w:t>sss_sync_inter</w:t>
                  </w:r>
                  <w:proofErr w:type="spellEnd"/>
                  <w:r w:rsidRPr="00F56084">
                    <w:rPr>
                      <w:rFonts w:ascii="Arial" w:hAnsi="Arial"/>
                      <w:sz w:val="18"/>
                    </w:rPr>
                    <w:t xml:space="preserve"> x max(MGRP, SMTC period, DRX cycle)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Note 1, Note 2</w:t>
                  </w:r>
                </w:p>
              </w:tc>
            </w:tr>
            <w:tr w:rsidR="00E57675" w:rsidRPr="00F56084" w14:paraId="39D1825F" w14:textId="77777777" w:rsidTr="00E81D92">
              <w:tc>
                <w:tcPr>
                  <w:tcW w:w="4620" w:type="dxa"/>
                  <w:shd w:val="clear" w:color="auto" w:fill="auto"/>
                </w:tcPr>
                <w:p w14:paraId="78F2C14B" w14:textId="77777777" w:rsidR="00E57675" w:rsidRPr="00F56084" w:rsidRDefault="00E57675" w:rsidP="00E81D92">
                  <w:pPr>
                    <w:keepNext/>
                    <w:keepLines/>
                    <w:jc w:val="center"/>
                    <w:rPr>
                      <w:b/>
                    </w:rPr>
                  </w:pPr>
                  <w:r w:rsidRPr="00F56084">
                    <w:rPr>
                      <w:rFonts w:ascii="Arial" w:hAnsi="Arial"/>
                      <w:sz w:val="18"/>
                    </w:rPr>
                    <w:t>DRX cycle &gt; [320]</w:t>
                  </w:r>
                  <w:proofErr w:type="spellStart"/>
                  <w:r w:rsidRPr="00F56084">
                    <w:rPr>
                      <w:rFonts w:ascii="Arial" w:hAnsi="Arial"/>
                      <w:sz w:val="18"/>
                    </w:rPr>
                    <w:t>ms</w:t>
                  </w:r>
                  <w:proofErr w:type="spellEnd"/>
                </w:p>
              </w:tc>
              <w:tc>
                <w:tcPr>
                  <w:tcW w:w="4621" w:type="dxa"/>
                  <w:shd w:val="clear" w:color="auto" w:fill="auto"/>
                </w:tcPr>
                <w:p w14:paraId="13EE58CE" w14:textId="77777777" w:rsidR="00E57675" w:rsidRPr="00F56084" w:rsidRDefault="00E57675" w:rsidP="00E81D92">
                  <w:pPr>
                    <w:keepNext/>
                    <w:keepLines/>
                    <w:jc w:val="center"/>
                    <w:rPr>
                      <w:b/>
                    </w:rPr>
                  </w:pPr>
                  <w:proofErr w:type="spellStart"/>
                  <w:r w:rsidRPr="00E57675">
                    <w:rPr>
                      <w:highlight w:val="yellow"/>
                    </w:rPr>
                    <w:t>M</w:t>
                  </w:r>
                  <w:r w:rsidRPr="00E57675">
                    <w:rPr>
                      <w:highlight w:val="yellow"/>
                      <w:vertAlign w:val="subscript"/>
                    </w:rPr>
                    <w:t>pss</w:t>
                  </w:r>
                  <w:proofErr w:type="spellEnd"/>
                  <w:r w:rsidRPr="00E57675">
                    <w:rPr>
                      <w:highlight w:val="yellow"/>
                      <w:vertAlign w:val="subscript"/>
                    </w:rPr>
                    <w:t>/</w:t>
                  </w:r>
                  <w:proofErr w:type="spellStart"/>
                  <w:r w:rsidRPr="00E57675">
                    <w:rPr>
                      <w:highlight w:val="yellow"/>
                      <w:vertAlign w:val="subscript"/>
                    </w:rPr>
                    <w:t>sss_sync_inter</w:t>
                  </w:r>
                  <w:proofErr w:type="spellEnd"/>
                  <w:r w:rsidRPr="00F56084">
                    <w:rPr>
                      <w:rFonts w:ascii="Arial" w:hAnsi="Arial"/>
                      <w:sz w:val="18"/>
                    </w:rPr>
                    <w:t xml:space="preserve"> x </w:t>
                  </w:r>
                  <w:r w:rsidRPr="00F56084">
                    <w:t>DRX cycle</w:t>
                  </w:r>
                  <w:r w:rsidRPr="00F56084">
                    <w:rPr>
                      <w:rFonts w:ascii="Arial" w:hAnsi="Arial"/>
                      <w:sz w:val="18"/>
                    </w:rPr>
                    <w:t xml:space="preserve">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Note 2</w:t>
                  </w:r>
                </w:p>
              </w:tc>
            </w:tr>
            <w:tr w:rsidR="00E57675" w:rsidRPr="00F56084" w14:paraId="0DAA39AC" w14:textId="77777777" w:rsidTr="00E81D92">
              <w:tc>
                <w:tcPr>
                  <w:tcW w:w="9241" w:type="dxa"/>
                  <w:gridSpan w:val="2"/>
                  <w:shd w:val="clear" w:color="auto" w:fill="auto"/>
                </w:tcPr>
                <w:p w14:paraId="35833E72" w14:textId="77777777" w:rsidR="00E57675" w:rsidRPr="00F56084" w:rsidRDefault="00E57675" w:rsidP="00E81D92">
                  <w:pPr>
                    <w:keepNext/>
                    <w:keepLines/>
                    <w:ind w:left="851" w:hanging="851"/>
                  </w:pPr>
                  <w:r w:rsidRPr="00F56084">
                    <w:rPr>
                      <w:rFonts w:ascii="Arial" w:hAnsi="Arial"/>
                      <w:sz w:val="18"/>
                    </w:rPr>
                    <w:t>Note 1:</w:t>
                  </w:r>
                  <w:r w:rsidRPr="00F56084">
                    <w:rPr>
                      <w:rFonts w:ascii="Arial" w:hAnsi="Arial"/>
                      <w:sz w:val="18"/>
                    </w:rPr>
                    <w:tab/>
                    <w:t>If different SMTC periodicities are configured for different inter-frequency carriers, the SMTC period in the requirement is the SMTC period of the inter-frequency carrier being identified</w:t>
                  </w:r>
                </w:p>
                <w:p w14:paraId="06FF5D48" w14:textId="77777777" w:rsidR="00E57675" w:rsidRPr="00F56084" w:rsidRDefault="00E57675" w:rsidP="00E81D92">
                  <w:pPr>
                    <w:keepNext/>
                    <w:keepLines/>
                    <w:ind w:left="851" w:hanging="851"/>
                    <w:rPr>
                      <w:i/>
                    </w:rPr>
                  </w:pPr>
                  <w:r w:rsidRPr="00F56084">
                    <w:rPr>
                      <w:rFonts w:ascii="Arial" w:hAnsi="Arial"/>
                      <w:sz w:val="18"/>
                    </w:rPr>
                    <w:t>Note 2:</w:t>
                  </w:r>
                  <w:r w:rsidRPr="00F56084">
                    <w:rPr>
                      <w:rFonts w:ascii="Arial" w:hAnsi="Arial"/>
                      <w:sz w:val="18"/>
                    </w:rPr>
                    <w:tab/>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is a carrier specific scaling factor and is determined according to section [9.3.6]</w:t>
                  </w:r>
                </w:p>
              </w:tc>
            </w:tr>
          </w:tbl>
          <w:p w14:paraId="56733CE5" w14:textId="77777777" w:rsidR="00E57675" w:rsidRPr="005931F0" w:rsidRDefault="00E57675" w:rsidP="00E57675"/>
          <w:p w14:paraId="791668AB" w14:textId="77777777" w:rsidR="00E57675" w:rsidRPr="005931F0" w:rsidRDefault="00E57675" w:rsidP="00E57675"/>
          <w:p w14:paraId="7E5B30AF" w14:textId="77777777" w:rsidR="00E57675" w:rsidRPr="005931F0" w:rsidRDefault="00E57675" w:rsidP="00E57675">
            <w:pPr>
              <w:keepNext/>
              <w:keepLines/>
              <w:spacing w:before="60"/>
              <w:jc w:val="center"/>
              <w:outlineLvl w:val="0"/>
            </w:pPr>
            <w:r w:rsidRPr="005931F0">
              <w:rPr>
                <w:rFonts w:ascii="Arial" w:hAnsi="Arial"/>
                <w:b/>
              </w:rPr>
              <w:t>Table 9.</w:t>
            </w:r>
            <w:r>
              <w:rPr>
                <w:rFonts w:ascii="Arial" w:hAnsi="Arial"/>
                <w:b/>
              </w:rPr>
              <w:t>3.4</w:t>
            </w:r>
            <w:r w:rsidRPr="005931F0">
              <w:rPr>
                <w:rFonts w:ascii="Arial" w:hAnsi="Arial"/>
                <w:b/>
              </w:rPr>
              <w:t>-4: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7675" w:rsidRPr="00F56084" w14:paraId="7878076B" w14:textId="77777777" w:rsidTr="00E81D92">
              <w:tc>
                <w:tcPr>
                  <w:tcW w:w="4620" w:type="dxa"/>
                  <w:shd w:val="clear" w:color="auto" w:fill="auto"/>
                </w:tcPr>
                <w:p w14:paraId="0B67B1CC" w14:textId="77777777" w:rsidR="00E57675" w:rsidRPr="00F56084" w:rsidRDefault="00E57675" w:rsidP="00E81D92">
                  <w:pPr>
                    <w:keepNext/>
                    <w:keepLines/>
                    <w:jc w:val="center"/>
                    <w:rPr>
                      <w:rFonts w:ascii="Arial" w:hAnsi="Arial"/>
                      <w:b/>
                      <w:sz w:val="18"/>
                    </w:rPr>
                  </w:pPr>
                  <w:r w:rsidRPr="00F56084">
                    <w:rPr>
                      <w:rFonts w:ascii="Arial" w:hAnsi="Arial"/>
                      <w:b/>
                      <w:sz w:val="18"/>
                    </w:rPr>
                    <w:t>Condition</w:t>
                  </w:r>
                </w:p>
              </w:tc>
              <w:tc>
                <w:tcPr>
                  <w:tcW w:w="4621" w:type="dxa"/>
                  <w:shd w:val="clear" w:color="auto" w:fill="auto"/>
                </w:tcPr>
                <w:p w14:paraId="241C9B21" w14:textId="77777777" w:rsidR="00E57675" w:rsidRPr="00F56084" w:rsidRDefault="00E57675" w:rsidP="00E81D92">
                  <w:pPr>
                    <w:keepNext/>
                    <w:keepLines/>
                    <w:jc w:val="center"/>
                    <w:rPr>
                      <w:rFonts w:ascii="Arial" w:hAnsi="Arial"/>
                      <w:b/>
                      <w:sz w:val="18"/>
                    </w:rPr>
                  </w:pPr>
                  <w:proofErr w:type="spellStart"/>
                  <w:r w:rsidRPr="00F56084">
                    <w:rPr>
                      <w:b/>
                    </w:rPr>
                    <w:t>T</w:t>
                  </w:r>
                  <w:r w:rsidRPr="00F56084">
                    <w:rPr>
                      <w:b/>
                      <w:vertAlign w:val="subscript"/>
                    </w:rPr>
                    <w:t>SSB_time_index_inter</w:t>
                  </w:r>
                  <w:proofErr w:type="spellEnd"/>
                </w:p>
              </w:tc>
            </w:tr>
            <w:tr w:rsidR="00E57675" w:rsidRPr="00F56084" w14:paraId="3C051D18" w14:textId="77777777" w:rsidTr="00E81D92">
              <w:tc>
                <w:tcPr>
                  <w:tcW w:w="4620" w:type="dxa"/>
                  <w:shd w:val="clear" w:color="auto" w:fill="auto"/>
                </w:tcPr>
                <w:p w14:paraId="2FC18A2F" w14:textId="77777777" w:rsidR="00E57675" w:rsidRPr="00F56084" w:rsidRDefault="00E57675" w:rsidP="00E81D92">
                  <w:pPr>
                    <w:keepNext/>
                    <w:keepLines/>
                    <w:jc w:val="center"/>
                    <w:rPr>
                      <w:rFonts w:ascii="Arial" w:hAnsi="Arial"/>
                      <w:sz w:val="18"/>
                    </w:rPr>
                  </w:pPr>
                  <w:r w:rsidRPr="00F56084">
                    <w:rPr>
                      <w:rFonts w:ascii="Arial" w:hAnsi="Arial"/>
                      <w:sz w:val="18"/>
                    </w:rPr>
                    <w:t>No DRX</w:t>
                  </w:r>
                </w:p>
              </w:tc>
              <w:tc>
                <w:tcPr>
                  <w:tcW w:w="4621" w:type="dxa"/>
                  <w:shd w:val="clear" w:color="auto" w:fill="auto"/>
                </w:tcPr>
                <w:p w14:paraId="2EDEFFB9" w14:textId="77777777" w:rsidR="00E57675" w:rsidRPr="00F56084" w:rsidRDefault="00E57675" w:rsidP="00E81D92">
                  <w:pPr>
                    <w:keepNext/>
                    <w:keepLines/>
                    <w:jc w:val="center"/>
                    <w:rPr>
                      <w:rFonts w:ascii="Arial" w:hAnsi="Arial"/>
                      <w:sz w:val="18"/>
                    </w:rPr>
                  </w:pPr>
                  <w:r w:rsidRPr="00F56084">
                    <w:rPr>
                      <w:rFonts w:ascii="Arial" w:hAnsi="Arial"/>
                      <w:sz w:val="18"/>
                    </w:rPr>
                    <w:t xml:space="preserve">max[ </w:t>
                  </w:r>
                  <w:r>
                    <w:rPr>
                      <w:rFonts w:ascii="Arial" w:hAnsi="Arial"/>
                      <w:sz w:val="18"/>
                    </w:rPr>
                    <w:t>200</w:t>
                  </w:r>
                  <w:r w:rsidRPr="00F56084">
                    <w:rPr>
                      <w:rFonts w:ascii="Arial" w:hAnsi="Arial"/>
                      <w:sz w:val="18"/>
                    </w:rPr>
                    <w:t xml:space="preserve">ms, </w:t>
                  </w:r>
                  <w:proofErr w:type="spellStart"/>
                  <w:r w:rsidRPr="00E57675">
                    <w:rPr>
                      <w:highlight w:val="yellow"/>
                    </w:rPr>
                    <w:t>M</w:t>
                  </w:r>
                  <w:r w:rsidRPr="00E57675">
                    <w:rPr>
                      <w:highlight w:val="yellow"/>
                      <w:vertAlign w:val="subscript"/>
                    </w:rPr>
                    <w:t>SSB_index_inter</w:t>
                  </w:r>
                  <w:proofErr w:type="spellEnd"/>
                  <w:r w:rsidRPr="00F56084">
                    <w:rPr>
                      <w:rFonts w:ascii="Arial" w:hAnsi="Arial"/>
                      <w:sz w:val="18"/>
                      <w:vertAlign w:val="subscript"/>
                    </w:rPr>
                    <w:t xml:space="preserve"> </w:t>
                  </w:r>
                  <w:r w:rsidRPr="00F56084">
                    <w:rPr>
                      <w:rFonts w:ascii="Arial" w:hAnsi="Arial"/>
                      <w:sz w:val="18"/>
                    </w:rPr>
                    <w:t xml:space="preserve">x max[MGRP, SMTC period]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 xml:space="preserve"> Note 1, Note 2</w:t>
                  </w:r>
                </w:p>
              </w:tc>
            </w:tr>
            <w:tr w:rsidR="00E57675" w:rsidRPr="00F56084" w14:paraId="66205650" w14:textId="77777777" w:rsidTr="00E81D92">
              <w:tc>
                <w:tcPr>
                  <w:tcW w:w="4620" w:type="dxa"/>
                  <w:shd w:val="clear" w:color="auto" w:fill="auto"/>
                </w:tcPr>
                <w:p w14:paraId="2B3A0719" w14:textId="77777777" w:rsidR="00E57675" w:rsidRPr="00F56084" w:rsidRDefault="00E57675" w:rsidP="00E81D92">
                  <w:pPr>
                    <w:keepNext/>
                    <w:keepLines/>
                    <w:jc w:val="center"/>
                    <w:rPr>
                      <w:rFonts w:ascii="Arial" w:hAnsi="Arial"/>
                      <w:sz w:val="18"/>
                    </w:rPr>
                  </w:pPr>
                  <w:r w:rsidRPr="00F56084">
                    <w:rPr>
                      <w:rFonts w:ascii="Arial" w:hAnsi="Arial"/>
                      <w:sz w:val="18"/>
                    </w:rPr>
                    <w:t>DRX cycle ≤ [320]</w:t>
                  </w:r>
                  <w:proofErr w:type="spellStart"/>
                  <w:r w:rsidRPr="00F56084">
                    <w:rPr>
                      <w:rFonts w:ascii="Arial" w:hAnsi="Arial"/>
                      <w:sz w:val="18"/>
                    </w:rPr>
                    <w:t>ms</w:t>
                  </w:r>
                  <w:proofErr w:type="spellEnd"/>
                </w:p>
              </w:tc>
              <w:tc>
                <w:tcPr>
                  <w:tcW w:w="4621" w:type="dxa"/>
                  <w:shd w:val="clear" w:color="auto" w:fill="auto"/>
                </w:tcPr>
                <w:p w14:paraId="6C2F1AB4" w14:textId="77777777" w:rsidR="00E57675" w:rsidRPr="00F56084" w:rsidRDefault="00E57675" w:rsidP="00E81D92">
                  <w:pPr>
                    <w:keepNext/>
                    <w:keepLines/>
                    <w:jc w:val="center"/>
                    <w:rPr>
                      <w:rFonts w:ascii="Arial" w:hAnsi="Arial"/>
                      <w:b/>
                      <w:sz w:val="18"/>
                    </w:rPr>
                  </w:pPr>
                  <w:r w:rsidRPr="00F56084">
                    <w:rPr>
                      <w:rFonts w:ascii="Arial" w:hAnsi="Arial"/>
                      <w:sz w:val="18"/>
                    </w:rPr>
                    <w:t xml:space="preserve">max[ </w:t>
                  </w:r>
                  <w:r>
                    <w:rPr>
                      <w:rFonts w:ascii="Arial" w:hAnsi="Arial"/>
                      <w:sz w:val="18"/>
                    </w:rPr>
                    <w:t>200</w:t>
                  </w:r>
                  <w:r w:rsidRPr="00F56084">
                    <w:rPr>
                      <w:rFonts w:ascii="Arial" w:hAnsi="Arial"/>
                      <w:sz w:val="18"/>
                    </w:rPr>
                    <w:t xml:space="preserve">ms, </w:t>
                  </w:r>
                  <w:proofErr w:type="spellStart"/>
                  <w:r w:rsidRPr="00E57675">
                    <w:rPr>
                      <w:highlight w:val="yellow"/>
                    </w:rPr>
                    <w:t>M</w:t>
                  </w:r>
                  <w:r w:rsidRPr="00E57675">
                    <w:rPr>
                      <w:highlight w:val="yellow"/>
                      <w:vertAlign w:val="subscript"/>
                    </w:rPr>
                    <w:t>SSB_index_inter</w:t>
                  </w:r>
                  <w:proofErr w:type="spellEnd"/>
                  <w:r w:rsidRPr="00F56084">
                    <w:rPr>
                      <w:rFonts w:ascii="Arial" w:hAnsi="Arial"/>
                      <w:sz w:val="18"/>
                    </w:rPr>
                    <w:t xml:space="preserve"> x max(MGRP, SMTC period, DRX cycle)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Note 1, Note 2</w:t>
                  </w:r>
                </w:p>
              </w:tc>
            </w:tr>
            <w:tr w:rsidR="00E57675" w:rsidRPr="00F56084" w14:paraId="3CC385E0" w14:textId="77777777" w:rsidTr="00E81D92">
              <w:tc>
                <w:tcPr>
                  <w:tcW w:w="4620" w:type="dxa"/>
                  <w:shd w:val="clear" w:color="auto" w:fill="auto"/>
                </w:tcPr>
                <w:p w14:paraId="019C1CB3" w14:textId="77777777" w:rsidR="00E57675" w:rsidRPr="00F56084" w:rsidRDefault="00E57675" w:rsidP="00E81D92">
                  <w:pPr>
                    <w:keepNext/>
                    <w:keepLines/>
                    <w:jc w:val="center"/>
                    <w:rPr>
                      <w:rFonts w:ascii="Arial" w:hAnsi="Arial"/>
                      <w:b/>
                      <w:sz w:val="18"/>
                    </w:rPr>
                  </w:pPr>
                  <w:r w:rsidRPr="00F56084">
                    <w:rPr>
                      <w:rFonts w:ascii="Arial" w:hAnsi="Arial"/>
                      <w:sz w:val="18"/>
                    </w:rPr>
                    <w:t>DRX cycle &gt; [320]</w:t>
                  </w:r>
                  <w:proofErr w:type="spellStart"/>
                  <w:r w:rsidRPr="00F56084">
                    <w:rPr>
                      <w:rFonts w:ascii="Arial" w:hAnsi="Arial"/>
                      <w:sz w:val="18"/>
                    </w:rPr>
                    <w:t>ms</w:t>
                  </w:r>
                  <w:proofErr w:type="spellEnd"/>
                </w:p>
              </w:tc>
              <w:tc>
                <w:tcPr>
                  <w:tcW w:w="4621" w:type="dxa"/>
                  <w:shd w:val="clear" w:color="auto" w:fill="auto"/>
                </w:tcPr>
                <w:p w14:paraId="5D05A623" w14:textId="77777777" w:rsidR="00E57675" w:rsidRPr="00F56084" w:rsidRDefault="00E57675" w:rsidP="00E81D92">
                  <w:pPr>
                    <w:keepNext/>
                    <w:keepLines/>
                    <w:jc w:val="center"/>
                    <w:rPr>
                      <w:rFonts w:ascii="Arial" w:hAnsi="Arial"/>
                      <w:b/>
                      <w:sz w:val="18"/>
                    </w:rPr>
                  </w:pPr>
                  <w:proofErr w:type="spellStart"/>
                  <w:r w:rsidRPr="00E57675">
                    <w:rPr>
                      <w:highlight w:val="yellow"/>
                    </w:rPr>
                    <w:t>M</w:t>
                  </w:r>
                  <w:r w:rsidRPr="00E57675">
                    <w:rPr>
                      <w:highlight w:val="yellow"/>
                      <w:vertAlign w:val="subscript"/>
                    </w:rPr>
                    <w:t>SSB_index_inter</w:t>
                  </w:r>
                  <w:proofErr w:type="spellEnd"/>
                  <w:r w:rsidRPr="00F56084">
                    <w:rPr>
                      <w:rFonts w:ascii="Arial" w:hAnsi="Arial"/>
                      <w:sz w:val="18"/>
                    </w:rPr>
                    <w:t xml:space="preserve"> x </w:t>
                  </w:r>
                  <w:r w:rsidRPr="00F56084">
                    <w:t>DRX cycle</w:t>
                  </w:r>
                  <w:r w:rsidRPr="00F56084">
                    <w:rPr>
                      <w:rFonts w:ascii="Arial" w:hAnsi="Arial"/>
                      <w:sz w:val="18"/>
                    </w:rPr>
                    <w:t xml:space="preserve">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Note 2</w:t>
                  </w:r>
                </w:p>
              </w:tc>
            </w:tr>
            <w:tr w:rsidR="00E57675" w:rsidRPr="00F56084" w14:paraId="27D76A67" w14:textId="77777777" w:rsidTr="00E81D92">
              <w:tc>
                <w:tcPr>
                  <w:tcW w:w="9241" w:type="dxa"/>
                  <w:gridSpan w:val="2"/>
                  <w:shd w:val="clear" w:color="auto" w:fill="auto"/>
                </w:tcPr>
                <w:p w14:paraId="33F3BCAA" w14:textId="77777777" w:rsidR="00E57675" w:rsidRPr="00F56084" w:rsidRDefault="00E57675" w:rsidP="00E81D92">
                  <w:pPr>
                    <w:keepNext/>
                    <w:keepLines/>
                    <w:ind w:left="851" w:hanging="851"/>
                    <w:rPr>
                      <w:rFonts w:ascii="Arial" w:hAnsi="Arial"/>
                      <w:sz w:val="18"/>
                    </w:rPr>
                  </w:pPr>
                  <w:r w:rsidRPr="00F56084">
                    <w:rPr>
                      <w:rFonts w:ascii="Arial" w:hAnsi="Arial"/>
                      <w:sz w:val="18"/>
                    </w:rPr>
                    <w:t>Note 1:</w:t>
                  </w:r>
                  <w:r w:rsidRPr="00F56084">
                    <w:rPr>
                      <w:rFonts w:ascii="Arial" w:hAnsi="Arial"/>
                      <w:sz w:val="18"/>
                    </w:rPr>
                    <w:tab/>
                    <w:t>If different SMTC periodicities are configured for different inter-frequency carriers, the SMTC period in the requirement is the SMTC period of the inter-frequency carrier being identified</w:t>
                  </w:r>
                </w:p>
                <w:p w14:paraId="28999AE1" w14:textId="77777777" w:rsidR="00E57675" w:rsidRPr="00F56084" w:rsidRDefault="00E57675" w:rsidP="00E81D92">
                  <w:pPr>
                    <w:keepNext/>
                    <w:keepLines/>
                    <w:ind w:left="851" w:hanging="851"/>
                    <w:rPr>
                      <w:rFonts w:ascii="Arial" w:hAnsi="Arial"/>
                      <w:sz w:val="18"/>
                    </w:rPr>
                  </w:pPr>
                  <w:r w:rsidRPr="00F56084">
                    <w:rPr>
                      <w:rFonts w:ascii="Arial" w:hAnsi="Arial"/>
                      <w:sz w:val="18"/>
                    </w:rPr>
                    <w:t>Note 2:</w:t>
                  </w:r>
                  <w:r w:rsidRPr="00F56084">
                    <w:rPr>
                      <w:rFonts w:ascii="Arial" w:hAnsi="Arial"/>
                      <w:sz w:val="18"/>
                    </w:rPr>
                    <w:tab/>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is a carrier specific scaling factor and is determined according to section [9.3.6]</w:t>
                  </w:r>
                </w:p>
              </w:tc>
            </w:tr>
          </w:tbl>
          <w:p w14:paraId="7D0659D3" w14:textId="77777777" w:rsidR="00E57675" w:rsidRPr="00E57675" w:rsidRDefault="00E57675" w:rsidP="00A53D4D">
            <w:pPr>
              <w:spacing w:after="240"/>
              <w:jc w:val="both"/>
              <w:rPr>
                <w:rFonts w:eastAsiaTheme="minorEastAsia"/>
                <w:sz w:val="22"/>
                <w:lang w:eastAsia="ja-JP"/>
              </w:rPr>
            </w:pPr>
          </w:p>
          <w:p w14:paraId="0A586AC1" w14:textId="77777777" w:rsidR="00E57675" w:rsidRPr="006735C9" w:rsidRDefault="00E57675" w:rsidP="00E57675">
            <w:pPr>
              <w:keepNext/>
              <w:keepLines/>
              <w:spacing w:before="60"/>
              <w:jc w:val="center"/>
              <w:outlineLvl w:val="0"/>
            </w:pPr>
            <w:r>
              <w:rPr>
                <w:rFonts w:ascii="Arial" w:hAnsi="Arial"/>
                <w:b/>
              </w:rPr>
              <w:t>Table 9.3.5</w:t>
            </w:r>
            <w:r w:rsidRPr="006735C9">
              <w:rPr>
                <w:rFonts w:ascii="Arial" w:hAnsi="Arial"/>
                <w:b/>
              </w:rPr>
              <w:t xml:space="preserve">-2: Measurement period for </w:t>
            </w:r>
            <w:r>
              <w:rPr>
                <w:rFonts w:ascii="Arial" w:hAnsi="Arial"/>
                <w:b/>
              </w:rPr>
              <w:t>inter-</w:t>
            </w:r>
            <w:r w:rsidRPr="006735C9">
              <w:rPr>
                <w:rFonts w:ascii="Arial" w:hAnsi="Arial"/>
                <w:b/>
              </w:rPr>
              <w:t>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7675" w:rsidRPr="00F56084" w14:paraId="7E130CB4" w14:textId="77777777" w:rsidTr="00E81D92">
              <w:tc>
                <w:tcPr>
                  <w:tcW w:w="4620" w:type="dxa"/>
                  <w:shd w:val="clear" w:color="auto" w:fill="auto"/>
                </w:tcPr>
                <w:p w14:paraId="7D0415BF" w14:textId="77777777" w:rsidR="00E57675" w:rsidRPr="00F56084" w:rsidRDefault="00E57675" w:rsidP="00E81D92">
                  <w:pPr>
                    <w:keepNext/>
                    <w:keepLines/>
                    <w:jc w:val="center"/>
                  </w:pPr>
                  <w:r w:rsidRPr="00F56084">
                    <w:rPr>
                      <w:rFonts w:ascii="Arial" w:hAnsi="Arial"/>
                      <w:b/>
                      <w:sz w:val="18"/>
                    </w:rPr>
                    <w:t>Condition</w:t>
                  </w:r>
                </w:p>
              </w:tc>
              <w:tc>
                <w:tcPr>
                  <w:tcW w:w="4621" w:type="dxa"/>
                  <w:shd w:val="clear" w:color="auto" w:fill="auto"/>
                </w:tcPr>
                <w:p w14:paraId="20C343F7" w14:textId="77777777" w:rsidR="00E57675" w:rsidRPr="00F56084" w:rsidRDefault="00E57675" w:rsidP="00E81D92">
                  <w:pPr>
                    <w:keepNext/>
                    <w:keepLines/>
                    <w:jc w:val="center"/>
                  </w:pPr>
                  <w:r w:rsidRPr="00E81D92">
                    <w:rPr>
                      <w:b/>
                    </w:rPr>
                    <w:t>T</w:t>
                  </w:r>
                  <w:r w:rsidRPr="00E81D92">
                    <w:rPr>
                      <w:b/>
                      <w:vertAlign w:val="subscript"/>
                    </w:rPr>
                    <w:t xml:space="preserve"> </w:t>
                  </w:r>
                  <w:proofErr w:type="spellStart"/>
                  <w:r w:rsidRPr="00E81D92">
                    <w:rPr>
                      <w:b/>
                      <w:vertAlign w:val="subscript"/>
                    </w:rPr>
                    <w:t>SSB_measurement_period_inter</w:t>
                  </w:r>
                  <w:proofErr w:type="spellEnd"/>
                </w:p>
              </w:tc>
            </w:tr>
            <w:tr w:rsidR="00E57675" w:rsidRPr="00F56084" w14:paraId="1F5EA695" w14:textId="77777777" w:rsidTr="00E81D92">
              <w:tc>
                <w:tcPr>
                  <w:tcW w:w="4620" w:type="dxa"/>
                  <w:shd w:val="clear" w:color="auto" w:fill="auto"/>
                </w:tcPr>
                <w:p w14:paraId="3BDB5B83" w14:textId="77777777" w:rsidR="00E57675" w:rsidRPr="00F56084" w:rsidRDefault="00E57675" w:rsidP="00E81D92">
                  <w:pPr>
                    <w:keepNext/>
                    <w:keepLines/>
                    <w:jc w:val="center"/>
                  </w:pPr>
                  <w:r w:rsidRPr="00F56084">
                    <w:rPr>
                      <w:rFonts w:ascii="Arial" w:hAnsi="Arial"/>
                      <w:sz w:val="18"/>
                    </w:rPr>
                    <w:t>No DRX</w:t>
                  </w:r>
                </w:p>
              </w:tc>
              <w:tc>
                <w:tcPr>
                  <w:tcW w:w="4621" w:type="dxa"/>
                  <w:shd w:val="clear" w:color="auto" w:fill="auto"/>
                </w:tcPr>
                <w:p w14:paraId="69528FAC" w14:textId="77777777" w:rsidR="00E57675" w:rsidRPr="00F56084" w:rsidRDefault="00E57675" w:rsidP="00E81D92">
                  <w:pPr>
                    <w:keepNext/>
                    <w:keepLines/>
                    <w:jc w:val="center"/>
                  </w:pPr>
                  <w:r w:rsidRPr="00F56084">
                    <w:rPr>
                      <w:rFonts w:ascii="Arial" w:hAnsi="Arial"/>
                      <w:sz w:val="18"/>
                    </w:rPr>
                    <w:t xml:space="preserve">max[ </w:t>
                  </w:r>
                  <w:r>
                    <w:rPr>
                      <w:rFonts w:ascii="Arial" w:hAnsi="Arial"/>
                      <w:sz w:val="18"/>
                    </w:rPr>
                    <w:t>400</w:t>
                  </w:r>
                  <w:r w:rsidRPr="00F56084">
                    <w:rPr>
                      <w:rFonts w:ascii="Arial" w:hAnsi="Arial"/>
                      <w:sz w:val="18"/>
                    </w:rPr>
                    <w:t xml:space="preserve">ms, </w:t>
                  </w:r>
                  <w:proofErr w:type="spellStart"/>
                  <w:r w:rsidRPr="00E57675">
                    <w:rPr>
                      <w:highlight w:val="yellow"/>
                    </w:rPr>
                    <w:t>M</w:t>
                  </w:r>
                  <w:r w:rsidRPr="00E57675">
                    <w:rPr>
                      <w:highlight w:val="yellow"/>
                      <w:vertAlign w:val="subscript"/>
                    </w:rPr>
                    <w:t>meas_period_inter</w:t>
                  </w:r>
                  <w:proofErr w:type="spellEnd"/>
                  <w:r w:rsidRPr="00F56084">
                    <w:rPr>
                      <w:rFonts w:ascii="Arial" w:hAnsi="Arial"/>
                      <w:sz w:val="18"/>
                      <w:vertAlign w:val="subscript"/>
                    </w:rPr>
                    <w:t xml:space="preserve"> </w:t>
                  </w:r>
                  <w:r w:rsidRPr="00F56084">
                    <w:rPr>
                      <w:rFonts w:ascii="Arial" w:hAnsi="Arial"/>
                      <w:sz w:val="18"/>
                    </w:rPr>
                    <w:t xml:space="preserve">x max[MGRP, SMTC period]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 xml:space="preserve"> Note 1, Note 2</w:t>
                  </w:r>
                </w:p>
              </w:tc>
            </w:tr>
            <w:tr w:rsidR="00E57675" w:rsidRPr="00F56084" w14:paraId="77247854" w14:textId="77777777" w:rsidTr="00E81D92">
              <w:tc>
                <w:tcPr>
                  <w:tcW w:w="4620" w:type="dxa"/>
                  <w:shd w:val="clear" w:color="auto" w:fill="auto"/>
                </w:tcPr>
                <w:p w14:paraId="0D296797" w14:textId="77777777" w:rsidR="00E57675" w:rsidRPr="00F56084" w:rsidRDefault="00E57675" w:rsidP="00E81D92">
                  <w:pPr>
                    <w:keepNext/>
                    <w:keepLines/>
                    <w:jc w:val="center"/>
                  </w:pPr>
                  <w:r w:rsidRPr="00F56084">
                    <w:rPr>
                      <w:rFonts w:ascii="Arial" w:hAnsi="Arial"/>
                      <w:sz w:val="18"/>
                    </w:rPr>
                    <w:t xml:space="preserve">DRX cycle </w:t>
                  </w:r>
                  <w:r w:rsidRPr="00F56084">
                    <w:rPr>
                      <w:rFonts w:ascii="Arial" w:hAnsi="Arial" w:hint="eastAsia"/>
                      <w:sz w:val="18"/>
                    </w:rPr>
                    <w:t>≤</w:t>
                  </w:r>
                  <w:r w:rsidRPr="00F56084">
                    <w:rPr>
                      <w:rFonts w:ascii="Arial" w:hAnsi="Arial"/>
                      <w:sz w:val="18"/>
                    </w:rPr>
                    <w:t xml:space="preserve"> [320]</w:t>
                  </w:r>
                  <w:proofErr w:type="spellStart"/>
                  <w:r w:rsidRPr="00F56084">
                    <w:rPr>
                      <w:rFonts w:ascii="Arial" w:hAnsi="Arial"/>
                      <w:sz w:val="18"/>
                    </w:rPr>
                    <w:t>ms</w:t>
                  </w:r>
                  <w:proofErr w:type="spellEnd"/>
                </w:p>
              </w:tc>
              <w:tc>
                <w:tcPr>
                  <w:tcW w:w="4621" w:type="dxa"/>
                  <w:shd w:val="clear" w:color="auto" w:fill="auto"/>
                </w:tcPr>
                <w:p w14:paraId="0877CDF2" w14:textId="77777777" w:rsidR="00E57675" w:rsidRPr="00F56084" w:rsidRDefault="00E57675" w:rsidP="00E81D92">
                  <w:pPr>
                    <w:keepNext/>
                    <w:keepLines/>
                    <w:jc w:val="center"/>
                    <w:rPr>
                      <w:b/>
                    </w:rPr>
                  </w:pPr>
                  <w:r w:rsidRPr="00F56084">
                    <w:rPr>
                      <w:rFonts w:ascii="Arial" w:hAnsi="Arial"/>
                      <w:sz w:val="18"/>
                    </w:rPr>
                    <w:t xml:space="preserve">max[ </w:t>
                  </w:r>
                  <w:r>
                    <w:rPr>
                      <w:rFonts w:ascii="Arial" w:hAnsi="Arial"/>
                      <w:sz w:val="18"/>
                    </w:rPr>
                    <w:t>400</w:t>
                  </w:r>
                  <w:r w:rsidRPr="00F56084">
                    <w:rPr>
                      <w:rFonts w:ascii="Arial" w:hAnsi="Arial"/>
                      <w:sz w:val="18"/>
                    </w:rPr>
                    <w:t xml:space="preserve">ms, </w:t>
                  </w:r>
                  <w:proofErr w:type="spellStart"/>
                  <w:r w:rsidRPr="00E57675">
                    <w:rPr>
                      <w:highlight w:val="yellow"/>
                    </w:rPr>
                    <w:t>M</w:t>
                  </w:r>
                  <w:r w:rsidRPr="00E57675">
                    <w:rPr>
                      <w:highlight w:val="yellow"/>
                      <w:vertAlign w:val="subscript"/>
                    </w:rPr>
                    <w:t>meas_period_inter</w:t>
                  </w:r>
                  <w:proofErr w:type="spellEnd"/>
                  <w:r w:rsidRPr="00F56084">
                    <w:rPr>
                      <w:rFonts w:ascii="Arial" w:hAnsi="Arial"/>
                      <w:sz w:val="18"/>
                    </w:rPr>
                    <w:t xml:space="preserve"> x max(MGRP, SMTC period, DRX cycle)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Note 1, Note 2</w:t>
                  </w:r>
                </w:p>
              </w:tc>
            </w:tr>
            <w:tr w:rsidR="00E57675" w:rsidRPr="00F56084" w14:paraId="51B6C30C" w14:textId="77777777" w:rsidTr="00E81D92">
              <w:tc>
                <w:tcPr>
                  <w:tcW w:w="4620" w:type="dxa"/>
                  <w:shd w:val="clear" w:color="auto" w:fill="auto"/>
                </w:tcPr>
                <w:p w14:paraId="4D29304A" w14:textId="77777777" w:rsidR="00E57675" w:rsidRPr="00F56084" w:rsidRDefault="00E57675" w:rsidP="00E81D92">
                  <w:pPr>
                    <w:keepNext/>
                    <w:keepLines/>
                    <w:jc w:val="center"/>
                    <w:rPr>
                      <w:b/>
                    </w:rPr>
                  </w:pPr>
                  <w:r w:rsidRPr="00F56084">
                    <w:rPr>
                      <w:rFonts w:ascii="Arial" w:hAnsi="Arial"/>
                      <w:sz w:val="18"/>
                    </w:rPr>
                    <w:lastRenderedPageBreak/>
                    <w:t>DRX cycle &gt; [320]</w:t>
                  </w:r>
                  <w:proofErr w:type="spellStart"/>
                  <w:r w:rsidRPr="00F56084">
                    <w:rPr>
                      <w:rFonts w:ascii="Arial" w:hAnsi="Arial"/>
                      <w:sz w:val="18"/>
                    </w:rPr>
                    <w:t>ms</w:t>
                  </w:r>
                  <w:proofErr w:type="spellEnd"/>
                </w:p>
              </w:tc>
              <w:tc>
                <w:tcPr>
                  <w:tcW w:w="4621" w:type="dxa"/>
                  <w:shd w:val="clear" w:color="auto" w:fill="auto"/>
                </w:tcPr>
                <w:p w14:paraId="402E77CD" w14:textId="77777777" w:rsidR="00E57675" w:rsidRPr="00F56084" w:rsidRDefault="00E57675" w:rsidP="00E81D92">
                  <w:pPr>
                    <w:keepNext/>
                    <w:keepLines/>
                    <w:jc w:val="center"/>
                    <w:rPr>
                      <w:b/>
                    </w:rPr>
                  </w:pPr>
                  <w:proofErr w:type="spellStart"/>
                  <w:r>
                    <w:t>M</w:t>
                  </w:r>
                  <w:r>
                    <w:rPr>
                      <w:vertAlign w:val="subscript"/>
                    </w:rPr>
                    <w:t>meas_period_inter</w:t>
                  </w:r>
                  <w:proofErr w:type="spellEnd"/>
                  <w:r w:rsidRPr="00F56084">
                    <w:rPr>
                      <w:rFonts w:ascii="Arial" w:hAnsi="Arial"/>
                      <w:sz w:val="18"/>
                    </w:rPr>
                    <w:t xml:space="preserve"> x </w:t>
                  </w:r>
                  <w:r w:rsidRPr="00F56084">
                    <w:t>DRX cycle</w:t>
                  </w:r>
                  <w:r w:rsidRPr="00F56084">
                    <w:rPr>
                      <w:rFonts w:ascii="Arial" w:hAnsi="Arial"/>
                      <w:sz w:val="18"/>
                    </w:rPr>
                    <w:t xml:space="preserve"> x </w:t>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w:t>
                  </w:r>
                  <w:r w:rsidRPr="00F56084">
                    <w:rPr>
                      <w:rFonts w:ascii="Arial" w:hAnsi="Arial"/>
                      <w:sz w:val="18"/>
                      <w:vertAlign w:val="superscript"/>
                    </w:rPr>
                    <w:t>Note 2</w:t>
                  </w:r>
                </w:p>
              </w:tc>
            </w:tr>
            <w:tr w:rsidR="00E57675" w:rsidRPr="00F56084" w14:paraId="743ED261" w14:textId="77777777" w:rsidTr="00E81D92">
              <w:tc>
                <w:tcPr>
                  <w:tcW w:w="4620" w:type="dxa"/>
                  <w:shd w:val="clear" w:color="auto" w:fill="auto"/>
                </w:tcPr>
                <w:p w14:paraId="6B657973" w14:textId="77777777" w:rsidR="00E57675" w:rsidRPr="00F56084" w:rsidRDefault="00E57675" w:rsidP="00E81D92">
                  <w:pPr>
                    <w:keepNext/>
                    <w:keepLines/>
                    <w:jc w:val="center"/>
                    <w:rPr>
                      <w:b/>
                    </w:rPr>
                  </w:pPr>
                  <w:r w:rsidRPr="00F56084">
                    <w:rPr>
                      <w:rFonts w:ascii="Arial" w:hAnsi="Arial"/>
                      <w:b/>
                      <w:sz w:val="18"/>
                    </w:rPr>
                    <w:t>…</w:t>
                  </w:r>
                </w:p>
              </w:tc>
              <w:tc>
                <w:tcPr>
                  <w:tcW w:w="4621" w:type="dxa"/>
                  <w:shd w:val="clear" w:color="auto" w:fill="auto"/>
                </w:tcPr>
                <w:p w14:paraId="2EF125AB" w14:textId="77777777" w:rsidR="00E57675" w:rsidRPr="00F56084" w:rsidRDefault="00E57675" w:rsidP="00E81D92">
                  <w:pPr>
                    <w:keepNext/>
                    <w:keepLines/>
                    <w:jc w:val="center"/>
                    <w:rPr>
                      <w:b/>
                    </w:rPr>
                  </w:pPr>
                  <w:r w:rsidRPr="00F56084">
                    <w:rPr>
                      <w:rFonts w:ascii="Arial" w:hAnsi="Arial"/>
                      <w:b/>
                      <w:sz w:val="18"/>
                    </w:rPr>
                    <w:t>…</w:t>
                  </w:r>
                </w:p>
              </w:tc>
            </w:tr>
            <w:tr w:rsidR="00E57675" w:rsidRPr="00F56084" w14:paraId="39F33FE6" w14:textId="77777777" w:rsidTr="00E81D92">
              <w:trPr>
                <w:trHeight w:val="70"/>
              </w:trPr>
              <w:tc>
                <w:tcPr>
                  <w:tcW w:w="9241" w:type="dxa"/>
                  <w:gridSpan w:val="2"/>
                  <w:shd w:val="clear" w:color="auto" w:fill="auto"/>
                </w:tcPr>
                <w:p w14:paraId="2919DB76" w14:textId="77777777" w:rsidR="00E57675" w:rsidRPr="00F56084" w:rsidRDefault="00E57675" w:rsidP="00E81D92">
                  <w:pPr>
                    <w:keepNext/>
                    <w:keepLines/>
                    <w:ind w:left="851" w:hanging="851"/>
                  </w:pPr>
                  <w:r w:rsidRPr="00F56084">
                    <w:rPr>
                      <w:rFonts w:ascii="Arial" w:hAnsi="Arial"/>
                      <w:sz w:val="18"/>
                    </w:rPr>
                    <w:t>Note 1:</w:t>
                  </w:r>
                  <w:r w:rsidRPr="00F56084">
                    <w:rPr>
                      <w:rFonts w:ascii="Arial" w:hAnsi="Arial"/>
                      <w:sz w:val="18"/>
                    </w:rPr>
                    <w:tab/>
                    <w:t>If different SMTC periodicities are configured for different inter-frequency carriers, the SMTC period in the requirement is the SMTC period of the inter-frequency carrier being measured</w:t>
                  </w:r>
                </w:p>
                <w:p w14:paraId="6004F9E2" w14:textId="77777777" w:rsidR="00E57675" w:rsidRPr="00F56084" w:rsidRDefault="00E57675" w:rsidP="00E81D92">
                  <w:pPr>
                    <w:keepNext/>
                    <w:keepLines/>
                    <w:ind w:left="851" w:hanging="851"/>
                  </w:pPr>
                  <w:r w:rsidRPr="00F56084">
                    <w:rPr>
                      <w:rFonts w:ascii="Arial" w:hAnsi="Arial"/>
                      <w:sz w:val="18"/>
                    </w:rPr>
                    <w:t>Note 2:</w:t>
                  </w:r>
                  <w:r w:rsidRPr="00F56084">
                    <w:rPr>
                      <w:rFonts w:ascii="Arial" w:hAnsi="Arial"/>
                      <w:sz w:val="18"/>
                    </w:rPr>
                    <w:tab/>
                  </w:r>
                  <w:proofErr w:type="spellStart"/>
                  <w:r w:rsidRPr="00F56084">
                    <w:rPr>
                      <w:rFonts w:ascii="Arial" w:hAnsi="Arial"/>
                      <w:sz w:val="18"/>
                    </w:rPr>
                    <w:t>CSF</w:t>
                  </w:r>
                  <w:r w:rsidRPr="00F56084">
                    <w:rPr>
                      <w:rFonts w:ascii="Arial" w:hAnsi="Arial"/>
                      <w:sz w:val="18"/>
                      <w:vertAlign w:val="subscript"/>
                    </w:rPr>
                    <w:t>inter</w:t>
                  </w:r>
                  <w:proofErr w:type="spellEnd"/>
                  <w:r w:rsidRPr="00F56084">
                    <w:rPr>
                      <w:rFonts w:ascii="Arial" w:hAnsi="Arial"/>
                      <w:sz w:val="18"/>
                    </w:rPr>
                    <w:t xml:space="preserve"> is a carrier specific scaling factor and is determined according to section [9.3.6]</w:t>
                  </w:r>
                </w:p>
              </w:tc>
            </w:tr>
          </w:tbl>
          <w:p w14:paraId="1AC5D017" w14:textId="77777777" w:rsidR="00E57675" w:rsidRPr="00E57675" w:rsidRDefault="00E57675" w:rsidP="00A53D4D">
            <w:pPr>
              <w:spacing w:after="240"/>
              <w:jc w:val="both"/>
              <w:rPr>
                <w:rFonts w:eastAsiaTheme="minorEastAsia"/>
                <w:sz w:val="22"/>
                <w:lang w:eastAsia="ja-JP"/>
              </w:rPr>
            </w:pPr>
          </w:p>
        </w:tc>
      </w:tr>
    </w:tbl>
    <w:p w14:paraId="7D59D3F2" w14:textId="0D7E4FDA" w:rsidR="004C0BCB" w:rsidRPr="006959A9" w:rsidRDefault="004C0BCB" w:rsidP="00D77FEC">
      <w:pPr>
        <w:spacing w:before="240" w:after="240"/>
        <w:jc w:val="both"/>
        <w:rPr>
          <w:rFonts w:eastAsiaTheme="minorEastAsia"/>
          <w:sz w:val="22"/>
          <w:lang w:val="en-US" w:eastAsia="ja-JP"/>
        </w:rPr>
      </w:pPr>
      <w:r w:rsidRPr="004C0BCB">
        <w:rPr>
          <w:rFonts w:eastAsiaTheme="minorEastAsia"/>
          <w:sz w:val="22"/>
          <w:lang w:val="en-US" w:eastAsia="ja-JP"/>
        </w:rPr>
        <w:lastRenderedPageBreak/>
        <w:t>For inter-frequency measurement, same methodology as intra-frequency measurement</w:t>
      </w:r>
      <w:r w:rsidR="00AA488E">
        <w:rPr>
          <w:rFonts w:eastAsiaTheme="minorEastAsia" w:hint="eastAsia"/>
          <w:sz w:val="22"/>
          <w:lang w:val="en-US" w:eastAsia="ja-JP"/>
        </w:rPr>
        <w:t xml:space="preserve"> requirements</w:t>
      </w:r>
      <w:r w:rsidRPr="004C0BCB">
        <w:rPr>
          <w:rFonts w:eastAsiaTheme="minorEastAsia"/>
          <w:sz w:val="22"/>
          <w:lang w:val="en-US" w:eastAsia="ja-JP"/>
        </w:rPr>
        <w:t xml:space="preserve"> could be applied, in other words, delay requirements of inter-frequency measurement could be also defined based on UE PC. One different aspect from intra-frequency measurement requirement is AGC </w:t>
      </w:r>
      <w:r w:rsidR="00AA488E">
        <w:rPr>
          <w:rFonts w:eastAsiaTheme="minorEastAsia" w:hint="eastAsia"/>
          <w:sz w:val="22"/>
          <w:lang w:val="en-US" w:eastAsia="ja-JP"/>
        </w:rPr>
        <w:t>issue</w:t>
      </w:r>
      <w:r w:rsidR="00AA488E" w:rsidRPr="004C0BCB">
        <w:rPr>
          <w:rFonts w:eastAsiaTheme="minorEastAsia"/>
          <w:sz w:val="22"/>
          <w:lang w:val="en-US" w:eastAsia="ja-JP"/>
        </w:rPr>
        <w:t xml:space="preserve"> </w:t>
      </w:r>
      <w:r w:rsidRPr="004C0BCB">
        <w:rPr>
          <w:rFonts w:eastAsiaTheme="minorEastAsia"/>
          <w:sz w:val="22"/>
          <w:lang w:val="en-US" w:eastAsia="ja-JP"/>
        </w:rPr>
        <w:t xml:space="preserve">for inter-frequency measurement. Appling additional measurement samples for AGC margin was already agreed, e.g. 3 samples, but scaling factor considering number of UE Rx beam was still unclear at that time. Now, it was agreed that 8 Rx beam would be assumed as baseline to derive RRM requirements, and hence, number of samples for inter-frequency measurement should be revisited from system performance perspective. In case of inter-frequency measurement, we need to take three points into consideration: </w:t>
      </w:r>
      <w:r w:rsidR="00AA488E">
        <w:rPr>
          <w:rFonts w:eastAsiaTheme="minorEastAsia" w:hint="eastAsia"/>
          <w:sz w:val="22"/>
          <w:lang w:val="en-US" w:eastAsia="ja-JP"/>
        </w:rPr>
        <w:t xml:space="preserve">the </w:t>
      </w:r>
      <w:r w:rsidR="009C0189">
        <w:rPr>
          <w:rFonts w:eastAsiaTheme="minorEastAsia" w:hint="eastAsia"/>
          <w:sz w:val="22"/>
          <w:lang w:val="en-US" w:eastAsia="ja-JP"/>
        </w:rPr>
        <w:t>shortest value of MGRP</w:t>
      </w:r>
      <w:r w:rsidRPr="004C0BCB">
        <w:rPr>
          <w:rFonts w:eastAsiaTheme="minorEastAsia"/>
          <w:sz w:val="22"/>
          <w:lang w:val="en-US" w:eastAsia="ja-JP"/>
        </w:rPr>
        <w:t xml:space="preserve">, impact from scaling factor </w:t>
      </w:r>
      <w:r w:rsidR="00AA488E">
        <w:rPr>
          <w:rFonts w:eastAsiaTheme="minorEastAsia" w:hint="eastAsia"/>
          <w:sz w:val="22"/>
          <w:lang w:val="en-US" w:eastAsia="ja-JP"/>
        </w:rPr>
        <w:t>considering</w:t>
      </w:r>
      <w:r w:rsidR="00AA488E" w:rsidRPr="004C0BCB">
        <w:rPr>
          <w:rFonts w:eastAsiaTheme="minorEastAsia"/>
          <w:sz w:val="22"/>
          <w:lang w:val="en-US" w:eastAsia="ja-JP"/>
        </w:rPr>
        <w:t xml:space="preserve"> </w:t>
      </w:r>
      <w:r w:rsidRPr="004C0BCB">
        <w:rPr>
          <w:rFonts w:eastAsiaTheme="minorEastAsia"/>
          <w:sz w:val="22"/>
          <w:lang w:val="en-US" w:eastAsia="ja-JP"/>
        </w:rPr>
        <w:t xml:space="preserve">multiple carriers, and side condition for inter-frequency measurement. Since MGRP is 20 </w:t>
      </w:r>
      <w:proofErr w:type="spellStart"/>
      <w:r w:rsidRPr="004C0BCB">
        <w:rPr>
          <w:rFonts w:eastAsiaTheme="minorEastAsia"/>
          <w:sz w:val="22"/>
          <w:lang w:val="en-US" w:eastAsia="ja-JP"/>
        </w:rPr>
        <w:t>ms</w:t>
      </w:r>
      <w:proofErr w:type="spellEnd"/>
      <w:r w:rsidRPr="004C0BCB">
        <w:rPr>
          <w:rFonts w:eastAsiaTheme="minorEastAsia"/>
          <w:sz w:val="22"/>
          <w:lang w:val="en-US" w:eastAsia="ja-JP"/>
        </w:rPr>
        <w:t xml:space="preserve"> or longer, shorter SMTC periodicity than 20 </w:t>
      </w:r>
      <w:proofErr w:type="spellStart"/>
      <w:r w:rsidRPr="004C0BCB">
        <w:rPr>
          <w:rFonts w:eastAsiaTheme="minorEastAsia"/>
          <w:sz w:val="22"/>
          <w:lang w:val="en-US" w:eastAsia="ja-JP"/>
        </w:rPr>
        <w:t>ms</w:t>
      </w:r>
      <w:proofErr w:type="spellEnd"/>
      <w:r w:rsidRPr="004C0BCB">
        <w:rPr>
          <w:rFonts w:eastAsiaTheme="minorEastAsia"/>
          <w:sz w:val="22"/>
          <w:lang w:val="en-US" w:eastAsia="ja-JP"/>
        </w:rPr>
        <w:t xml:space="preserve"> could not be utilized for inter-frequency measurement to accelerate completion of measurement. Moreover, especially for UE not supporting per-FR gap capability, NW could only configure 40 or 80 </w:t>
      </w:r>
      <w:proofErr w:type="spellStart"/>
      <w:r w:rsidRPr="004C0BCB">
        <w:rPr>
          <w:rFonts w:eastAsiaTheme="minorEastAsia"/>
          <w:sz w:val="22"/>
          <w:lang w:val="en-US" w:eastAsia="ja-JP"/>
        </w:rPr>
        <w:t>ms</w:t>
      </w:r>
      <w:proofErr w:type="spellEnd"/>
      <w:r w:rsidRPr="004C0BCB">
        <w:rPr>
          <w:rFonts w:eastAsiaTheme="minorEastAsia"/>
          <w:sz w:val="22"/>
          <w:lang w:val="en-US" w:eastAsia="ja-JP"/>
        </w:rPr>
        <w:t xml:space="preserve"> of MGRP when UE needs to measure LTE carriers at the same time as FR2 carriers. In addition, delay requirement for inter-frequency measurement would be relaxed by scaling factor considering multiple measured carriers, resulting delay requirement would be multiplied by number of carriers in the worst case. </w:t>
      </w:r>
      <w:r w:rsidR="00AA488E" w:rsidRPr="004C0BCB">
        <w:rPr>
          <w:rFonts w:eastAsiaTheme="minorEastAsia"/>
          <w:sz w:val="22"/>
          <w:lang w:val="en-US" w:eastAsia="ja-JP"/>
        </w:rPr>
        <w:t>F</w:t>
      </w:r>
      <w:r w:rsidR="00AA488E">
        <w:rPr>
          <w:rFonts w:eastAsiaTheme="minorEastAsia" w:hint="eastAsia"/>
          <w:sz w:val="22"/>
          <w:lang w:val="en-US" w:eastAsia="ja-JP"/>
        </w:rPr>
        <w:t>urthermore</w:t>
      </w:r>
      <w:r w:rsidRPr="004C0BCB">
        <w:rPr>
          <w:rFonts w:eastAsiaTheme="minorEastAsia"/>
          <w:sz w:val="22"/>
          <w:lang w:val="en-US" w:eastAsia="ja-JP"/>
        </w:rPr>
        <w:t>, difference on side condition between intra-frequency measurement and inter-frequency measurement should be taken into account. Side condition for inter-frequency measurement would be considered as -4 dB despite the fact that side condition for intra-frequency measurement would be -6 dB, and hence, UE could complete measurement smaller number of sa</w:t>
      </w:r>
      <w:r w:rsidRPr="006959A9">
        <w:rPr>
          <w:rFonts w:eastAsiaTheme="minorEastAsia"/>
          <w:sz w:val="22"/>
          <w:lang w:val="en-US" w:eastAsia="ja-JP"/>
        </w:rPr>
        <w:t xml:space="preserve">mples than intra-frequency measurement except for AGC margin. Based on above discussion, number of samples for inter-frequency measurement should be carefully considered to avoid </w:t>
      </w:r>
      <w:r w:rsidR="00AA488E">
        <w:rPr>
          <w:rFonts w:eastAsiaTheme="minorEastAsia" w:hint="eastAsia"/>
          <w:sz w:val="22"/>
          <w:lang w:val="en-US" w:eastAsia="ja-JP"/>
        </w:rPr>
        <w:t>quite</w:t>
      </w:r>
      <w:r w:rsidR="00AA488E" w:rsidRPr="006959A9">
        <w:rPr>
          <w:rFonts w:eastAsiaTheme="minorEastAsia"/>
          <w:sz w:val="22"/>
          <w:lang w:val="en-US" w:eastAsia="ja-JP"/>
        </w:rPr>
        <w:t xml:space="preserve"> </w:t>
      </w:r>
      <w:r w:rsidRPr="006959A9">
        <w:rPr>
          <w:rFonts w:eastAsiaTheme="minorEastAsia"/>
          <w:sz w:val="22"/>
          <w:lang w:val="en-US" w:eastAsia="ja-JP"/>
        </w:rPr>
        <w:t xml:space="preserve">long delay requirement which might cause degradation of system performance. Considering better side condition for inter-frequency measurement, we propose following values regarding total number of measurement samples for each </w:t>
      </w:r>
      <w:r w:rsidR="005746FA">
        <w:rPr>
          <w:rFonts w:eastAsiaTheme="minorEastAsia" w:hint="eastAsia"/>
          <w:sz w:val="22"/>
          <w:lang w:val="en-US" w:eastAsia="ja-JP"/>
        </w:rPr>
        <w:t xml:space="preserve">UE </w:t>
      </w:r>
      <w:r w:rsidRPr="006959A9">
        <w:rPr>
          <w:rFonts w:eastAsiaTheme="minorEastAsia"/>
          <w:sz w:val="22"/>
          <w:lang w:val="en-US" w:eastAsia="ja-JP"/>
        </w:rPr>
        <w:t>PC including AGC margin.</w:t>
      </w:r>
    </w:p>
    <w:p w14:paraId="7344D78A" w14:textId="68A60390" w:rsidR="00E57675" w:rsidRPr="006959A9" w:rsidRDefault="00E57675" w:rsidP="00A53D4D">
      <w:pPr>
        <w:spacing w:after="240"/>
        <w:jc w:val="both"/>
        <w:rPr>
          <w:rFonts w:eastAsiaTheme="minorEastAsia"/>
          <w:b/>
          <w:sz w:val="22"/>
          <w:lang w:val="en-US" w:eastAsia="ja-JP"/>
        </w:rPr>
      </w:pPr>
      <w:r w:rsidRPr="006959A9">
        <w:rPr>
          <w:rFonts w:eastAsiaTheme="minorEastAsia"/>
          <w:b/>
          <w:sz w:val="22"/>
          <w:u w:val="single"/>
          <w:lang w:val="en-US" w:eastAsia="ja-JP"/>
        </w:rPr>
        <w:t>Proposal 1</w:t>
      </w:r>
      <w:r w:rsidRPr="006959A9">
        <w:rPr>
          <w:rFonts w:eastAsiaTheme="minorEastAsia"/>
          <w:b/>
          <w:sz w:val="22"/>
          <w:lang w:val="en-US" w:eastAsia="ja-JP"/>
        </w:rPr>
        <w:t>: For FR2, number of samples</w:t>
      </w:r>
      <w:r w:rsidR="00E448E3">
        <w:rPr>
          <w:rFonts w:eastAsiaTheme="minorEastAsia" w:hint="eastAsia"/>
          <w:b/>
          <w:sz w:val="22"/>
          <w:lang w:val="en-US" w:eastAsia="ja-JP"/>
        </w:rPr>
        <w:t xml:space="preserve"> </w:t>
      </w:r>
      <w:r w:rsidR="00E448E3" w:rsidRPr="006959A9">
        <w:rPr>
          <w:rFonts w:eastAsiaTheme="minorEastAsia"/>
          <w:b/>
          <w:sz w:val="22"/>
          <w:lang w:val="en-US" w:eastAsia="ja-JP"/>
        </w:rPr>
        <w:t>to derive PSS/SSS synchronization and RSRP measurement delay</w:t>
      </w:r>
      <w:r w:rsidR="006959A9" w:rsidRPr="006959A9">
        <w:rPr>
          <w:rFonts w:eastAsiaTheme="minorEastAsia"/>
          <w:b/>
          <w:sz w:val="22"/>
          <w:lang w:val="en-US" w:eastAsia="ja-JP"/>
        </w:rPr>
        <w:t xml:space="preserve">, </w:t>
      </w:r>
      <w:proofErr w:type="spellStart"/>
      <w:r w:rsidR="006959A9" w:rsidRPr="006959A9">
        <w:rPr>
          <w:b/>
        </w:rPr>
        <w:t>M</w:t>
      </w:r>
      <w:r w:rsidR="006959A9" w:rsidRPr="006959A9">
        <w:rPr>
          <w:b/>
          <w:vertAlign w:val="subscript"/>
        </w:rPr>
        <w:t>pss</w:t>
      </w:r>
      <w:proofErr w:type="spellEnd"/>
      <w:r w:rsidR="006959A9" w:rsidRPr="006959A9">
        <w:rPr>
          <w:b/>
          <w:vertAlign w:val="subscript"/>
        </w:rPr>
        <w:t>/</w:t>
      </w:r>
      <w:proofErr w:type="spellStart"/>
      <w:r w:rsidR="006959A9" w:rsidRPr="006959A9">
        <w:rPr>
          <w:b/>
          <w:vertAlign w:val="subscript"/>
        </w:rPr>
        <w:t>sss_sync_inter</w:t>
      </w:r>
      <w:proofErr w:type="spellEnd"/>
      <w:r w:rsidR="006959A9" w:rsidRPr="006959A9">
        <w:rPr>
          <w:b/>
        </w:rPr>
        <w:t xml:space="preserve"> </w:t>
      </w:r>
      <w:r w:rsidR="006959A9" w:rsidRPr="006959A9">
        <w:rPr>
          <w:rFonts w:eastAsiaTheme="minorEastAsia"/>
          <w:b/>
          <w:lang w:eastAsia="ja-JP"/>
        </w:rPr>
        <w:t xml:space="preserve">and </w:t>
      </w:r>
      <w:proofErr w:type="spellStart"/>
      <w:r w:rsidR="006959A9" w:rsidRPr="006959A9">
        <w:rPr>
          <w:b/>
        </w:rPr>
        <w:t>M</w:t>
      </w:r>
      <w:r w:rsidR="006959A9" w:rsidRPr="006959A9">
        <w:rPr>
          <w:b/>
          <w:vertAlign w:val="subscript"/>
        </w:rPr>
        <w:t>meas_period_inter</w:t>
      </w:r>
      <w:proofErr w:type="spellEnd"/>
      <w:r w:rsidR="006959A9" w:rsidRPr="006959A9">
        <w:rPr>
          <w:rFonts w:eastAsiaTheme="minorEastAsia"/>
          <w:b/>
          <w:sz w:val="22"/>
          <w:lang w:val="en-US" w:eastAsia="ja-JP"/>
        </w:rPr>
        <w:t>,</w:t>
      </w:r>
      <w:r w:rsidRPr="006959A9">
        <w:rPr>
          <w:rFonts w:eastAsiaTheme="minorEastAsia"/>
          <w:b/>
          <w:sz w:val="22"/>
          <w:lang w:val="en-US" w:eastAsia="ja-JP"/>
        </w:rPr>
        <w:t xml:space="preserve"> </w:t>
      </w:r>
      <w:r w:rsidR="006959A9" w:rsidRPr="006959A9">
        <w:rPr>
          <w:rFonts w:eastAsiaTheme="minorEastAsia"/>
          <w:b/>
          <w:sz w:val="22"/>
          <w:lang w:val="en-US" w:eastAsia="ja-JP"/>
        </w:rPr>
        <w:t>should be defined as following</w:t>
      </w:r>
      <w:r w:rsidR="002359BC">
        <w:rPr>
          <w:rFonts w:eastAsiaTheme="minorEastAsia" w:hint="eastAsia"/>
          <w:b/>
          <w:sz w:val="22"/>
          <w:lang w:val="en-US" w:eastAsia="ja-JP"/>
        </w:rPr>
        <w:t xml:space="preserve"> including AGC margin</w:t>
      </w:r>
      <w:r w:rsidR="006959A9" w:rsidRPr="006959A9">
        <w:rPr>
          <w:rFonts w:eastAsiaTheme="minorEastAsia"/>
          <w:b/>
          <w:sz w:val="22"/>
          <w:lang w:val="en-US" w:eastAsia="ja-JP"/>
        </w:rPr>
        <w:t>.</w:t>
      </w:r>
    </w:p>
    <w:p w14:paraId="7A24E006" w14:textId="6E99A898" w:rsidR="004C0BCB" w:rsidRPr="006959A9" w:rsidRDefault="00E57675" w:rsidP="004C0BCB">
      <w:pPr>
        <w:pStyle w:val="a3"/>
        <w:numPr>
          <w:ilvl w:val="0"/>
          <w:numId w:val="34"/>
        </w:numPr>
        <w:ind w:leftChars="0"/>
        <w:rPr>
          <w:rFonts w:eastAsiaTheme="minorEastAsia"/>
          <w:b/>
          <w:lang w:val="en-US" w:eastAsia="ja-JP"/>
        </w:rPr>
      </w:pPr>
      <w:proofErr w:type="spellStart"/>
      <w:r w:rsidRPr="006959A9">
        <w:rPr>
          <w:b/>
        </w:rPr>
        <w:t>M</w:t>
      </w:r>
      <w:r w:rsidRPr="006959A9">
        <w:rPr>
          <w:b/>
          <w:vertAlign w:val="subscript"/>
        </w:rPr>
        <w:t>pss</w:t>
      </w:r>
      <w:proofErr w:type="spellEnd"/>
      <w:r w:rsidRPr="006959A9">
        <w:rPr>
          <w:b/>
          <w:vertAlign w:val="subscript"/>
        </w:rPr>
        <w:t>/</w:t>
      </w:r>
      <w:proofErr w:type="spellStart"/>
      <w:r w:rsidRPr="006959A9">
        <w:rPr>
          <w:b/>
          <w:vertAlign w:val="subscript"/>
        </w:rPr>
        <w:t>sss_sync_inter</w:t>
      </w:r>
      <w:proofErr w:type="spellEnd"/>
      <w:r w:rsidRPr="006959A9">
        <w:rPr>
          <w:b/>
        </w:rPr>
        <w:t xml:space="preserve"> </w:t>
      </w:r>
      <w:r w:rsidRPr="006959A9">
        <w:rPr>
          <w:rFonts w:eastAsiaTheme="minorEastAsia"/>
          <w:b/>
          <w:lang w:eastAsia="ja-JP"/>
        </w:rPr>
        <w:t xml:space="preserve">= </w:t>
      </w:r>
      <w:proofErr w:type="spellStart"/>
      <w:r w:rsidRPr="006959A9">
        <w:rPr>
          <w:b/>
        </w:rPr>
        <w:t>M</w:t>
      </w:r>
      <w:r w:rsidRPr="006959A9">
        <w:rPr>
          <w:b/>
          <w:vertAlign w:val="subscript"/>
        </w:rPr>
        <w:t>meas_period_inter</w:t>
      </w:r>
      <w:proofErr w:type="spellEnd"/>
      <w:r w:rsidRPr="006959A9">
        <w:rPr>
          <w:rFonts w:eastAsiaTheme="minorEastAsia"/>
          <w:b/>
          <w:vertAlign w:val="subscript"/>
          <w:lang w:eastAsia="ja-JP"/>
        </w:rPr>
        <w:t xml:space="preserve"> </w:t>
      </w:r>
      <w:r w:rsidRPr="006959A9">
        <w:rPr>
          <w:rFonts w:eastAsiaTheme="minorEastAsia"/>
          <w:b/>
          <w:lang w:eastAsia="ja-JP"/>
        </w:rPr>
        <w:t xml:space="preserve">= </w:t>
      </w:r>
      <w:r w:rsidRPr="006959A9">
        <w:rPr>
          <w:rFonts w:eastAsiaTheme="minorEastAsia"/>
          <w:b/>
          <w:lang w:eastAsia="ja-JP"/>
        </w:rPr>
        <w:softHyphen/>
      </w:r>
      <w:r w:rsidR="004C0BCB" w:rsidRPr="006959A9">
        <w:rPr>
          <w:rFonts w:eastAsiaTheme="minorEastAsia"/>
          <w:b/>
          <w:lang w:val="en-US" w:eastAsia="ja-JP"/>
        </w:rPr>
        <w:t>[48] for UE supporting PC1</w:t>
      </w:r>
    </w:p>
    <w:p w14:paraId="73B342C8" w14:textId="4C248A05" w:rsidR="004C0BCB" w:rsidRPr="006959A9" w:rsidRDefault="00E57675" w:rsidP="00660DDE">
      <w:pPr>
        <w:pStyle w:val="a3"/>
        <w:numPr>
          <w:ilvl w:val="0"/>
          <w:numId w:val="34"/>
        </w:numPr>
        <w:spacing w:after="240"/>
        <w:ind w:leftChars="0"/>
        <w:rPr>
          <w:rFonts w:eastAsiaTheme="minorEastAsia"/>
          <w:b/>
          <w:lang w:val="en-US" w:eastAsia="ja-JP"/>
        </w:rPr>
      </w:pPr>
      <w:proofErr w:type="spellStart"/>
      <w:r w:rsidRPr="006959A9">
        <w:rPr>
          <w:b/>
        </w:rPr>
        <w:t>M</w:t>
      </w:r>
      <w:r w:rsidRPr="006959A9">
        <w:rPr>
          <w:b/>
          <w:vertAlign w:val="subscript"/>
        </w:rPr>
        <w:t>pss</w:t>
      </w:r>
      <w:proofErr w:type="spellEnd"/>
      <w:r w:rsidRPr="006959A9">
        <w:rPr>
          <w:b/>
          <w:vertAlign w:val="subscript"/>
        </w:rPr>
        <w:t>/</w:t>
      </w:r>
      <w:proofErr w:type="spellStart"/>
      <w:r w:rsidRPr="006959A9">
        <w:rPr>
          <w:b/>
          <w:vertAlign w:val="subscript"/>
        </w:rPr>
        <w:t>sss_sync_inter</w:t>
      </w:r>
      <w:proofErr w:type="spellEnd"/>
      <w:r w:rsidRPr="006959A9">
        <w:rPr>
          <w:b/>
        </w:rPr>
        <w:t xml:space="preserve"> </w:t>
      </w:r>
      <w:r w:rsidRPr="006959A9">
        <w:rPr>
          <w:rFonts w:eastAsiaTheme="minorEastAsia"/>
          <w:b/>
          <w:lang w:eastAsia="ja-JP"/>
        </w:rPr>
        <w:t xml:space="preserve">= </w:t>
      </w:r>
      <w:proofErr w:type="spellStart"/>
      <w:r w:rsidRPr="006959A9">
        <w:rPr>
          <w:b/>
        </w:rPr>
        <w:t>M</w:t>
      </w:r>
      <w:r w:rsidRPr="006959A9">
        <w:rPr>
          <w:b/>
          <w:vertAlign w:val="subscript"/>
        </w:rPr>
        <w:t>meas_period_inter</w:t>
      </w:r>
      <w:proofErr w:type="spellEnd"/>
      <w:r w:rsidRPr="006959A9">
        <w:rPr>
          <w:rFonts w:eastAsiaTheme="minorEastAsia"/>
          <w:b/>
          <w:vertAlign w:val="subscript"/>
          <w:lang w:eastAsia="ja-JP"/>
        </w:rPr>
        <w:t xml:space="preserve"> </w:t>
      </w:r>
      <w:r w:rsidRPr="006959A9">
        <w:rPr>
          <w:rFonts w:eastAsiaTheme="minorEastAsia"/>
          <w:b/>
          <w:lang w:eastAsia="ja-JP"/>
        </w:rPr>
        <w:t xml:space="preserve">= </w:t>
      </w:r>
      <w:r w:rsidR="00660DDE">
        <w:rPr>
          <w:rFonts w:eastAsiaTheme="minorEastAsia"/>
          <w:b/>
          <w:lang w:val="en-US" w:eastAsia="ja-JP"/>
        </w:rPr>
        <w:t>[32] for UE supporting PC2</w:t>
      </w:r>
      <w:r w:rsidR="00660DDE">
        <w:rPr>
          <w:rFonts w:eastAsiaTheme="minorEastAsia" w:hint="eastAsia"/>
          <w:b/>
          <w:lang w:val="en-US" w:eastAsia="ja-JP"/>
        </w:rPr>
        <w:t>, 3 and 4</w:t>
      </w:r>
    </w:p>
    <w:p w14:paraId="7F5B2EF0" w14:textId="3B54B6BB" w:rsidR="006959A9" w:rsidRDefault="006959A9" w:rsidP="006F50BF">
      <w:pPr>
        <w:spacing w:after="240"/>
        <w:jc w:val="both"/>
        <w:rPr>
          <w:rFonts w:eastAsiaTheme="minorEastAsia"/>
          <w:sz w:val="22"/>
          <w:lang w:val="en-US" w:eastAsia="ja-JP"/>
        </w:rPr>
      </w:pPr>
      <w:r w:rsidRPr="006959A9">
        <w:rPr>
          <w:rFonts w:eastAsiaTheme="minorEastAsia" w:hint="eastAsia"/>
          <w:sz w:val="22"/>
          <w:lang w:val="en-US" w:eastAsia="ja-JP"/>
        </w:rPr>
        <w:t>For inter-frequency measurement, SSB time index detection delay should b</w:t>
      </w:r>
      <w:r>
        <w:rPr>
          <w:rFonts w:eastAsiaTheme="minorEastAsia" w:hint="eastAsia"/>
          <w:sz w:val="22"/>
          <w:lang w:val="en-US" w:eastAsia="ja-JP"/>
        </w:rPr>
        <w:t xml:space="preserve">e defined for the carrier measured at </w:t>
      </w:r>
      <w:r w:rsidR="005746FA">
        <w:rPr>
          <w:rFonts w:eastAsiaTheme="minorEastAsia" w:hint="eastAsia"/>
          <w:sz w:val="22"/>
          <w:lang w:val="en-US" w:eastAsia="ja-JP"/>
        </w:rPr>
        <w:t xml:space="preserve">the </w:t>
      </w:r>
      <w:r>
        <w:rPr>
          <w:rFonts w:eastAsiaTheme="minorEastAsia" w:hint="eastAsia"/>
          <w:sz w:val="22"/>
          <w:lang w:val="en-US" w:eastAsia="ja-JP"/>
        </w:rPr>
        <w:t>first time in band</w:t>
      </w:r>
      <w:r w:rsidRPr="006959A9">
        <w:rPr>
          <w:rFonts w:eastAsiaTheme="minorEastAsia" w:hint="eastAsia"/>
          <w:sz w:val="22"/>
          <w:lang w:val="en-US" w:eastAsia="ja-JP"/>
        </w:rPr>
        <w:t>.</w:t>
      </w:r>
      <w:r w:rsidR="002359BC">
        <w:rPr>
          <w:rFonts w:eastAsiaTheme="minorEastAsia" w:hint="eastAsia"/>
          <w:sz w:val="22"/>
          <w:lang w:val="en-US" w:eastAsia="ja-JP"/>
        </w:rPr>
        <w:t xml:space="preserve"> As discussed in previous meetings, </w:t>
      </w:r>
      <w:r w:rsidR="00266659">
        <w:rPr>
          <w:rFonts w:eastAsiaTheme="minorEastAsia" w:hint="eastAsia"/>
          <w:sz w:val="22"/>
          <w:lang w:val="en-US" w:eastAsia="ja-JP"/>
        </w:rPr>
        <w:t xml:space="preserve">UE would have some </w:t>
      </w:r>
      <w:r w:rsidR="00266659">
        <w:rPr>
          <w:rFonts w:eastAsiaTheme="minorEastAsia"/>
          <w:sz w:val="22"/>
          <w:lang w:val="en-US" w:eastAsia="ja-JP"/>
        </w:rPr>
        <w:t>knowledge</w:t>
      </w:r>
      <w:r w:rsidR="00266659">
        <w:rPr>
          <w:rFonts w:eastAsiaTheme="minorEastAsia" w:hint="eastAsia"/>
          <w:sz w:val="22"/>
          <w:lang w:val="en-US" w:eastAsia="ja-JP"/>
        </w:rPr>
        <w:t xml:space="preserve"> for appropriate Rx beam via PSS/SSS </w:t>
      </w:r>
      <w:r w:rsidR="00266659">
        <w:rPr>
          <w:rFonts w:eastAsiaTheme="minorEastAsia"/>
          <w:sz w:val="22"/>
          <w:lang w:val="en-US" w:eastAsia="ja-JP"/>
        </w:rPr>
        <w:t>synchronization</w:t>
      </w:r>
      <w:r w:rsidR="00266659">
        <w:rPr>
          <w:rFonts w:eastAsiaTheme="minorEastAsia" w:hint="eastAsia"/>
          <w:sz w:val="22"/>
          <w:lang w:val="en-US" w:eastAsia="ja-JP"/>
        </w:rPr>
        <w:t xml:space="preserve">, and hence, scaling due to Rx beam sweeping would not be necessary. Therefore, </w:t>
      </w:r>
      <w:r w:rsidR="006F50BF">
        <w:rPr>
          <w:rFonts w:eastAsiaTheme="minorEastAsia" w:hint="eastAsia"/>
          <w:sz w:val="22"/>
          <w:lang w:val="en-US" w:eastAsia="ja-JP"/>
        </w:rPr>
        <w:t xml:space="preserve">number of samples for SSB time index detection, </w:t>
      </w:r>
      <w:proofErr w:type="spellStart"/>
      <w:r w:rsidR="006F50BF" w:rsidRPr="006F50BF">
        <w:t>M</w:t>
      </w:r>
      <w:r w:rsidR="006F50BF" w:rsidRPr="006F50BF">
        <w:rPr>
          <w:vertAlign w:val="subscript"/>
        </w:rPr>
        <w:t>SSB_index_inter</w:t>
      </w:r>
      <w:proofErr w:type="spellEnd"/>
      <w:r w:rsidR="006F50BF">
        <w:rPr>
          <w:rFonts w:eastAsiaTheme="minorEastAsia" w:hint="eastAsia"/>
          <w:sz w:val="22"/>
          <w:lang w:val="en-US" w:eastAsia="ja-JP"/>
        </w:rPr>
        <w:t>, could be same as FR1 including AGC margin.</w:t>
      </w:r>
    </w:p>
    <w:p w14:paraId="0DF67F97" w14:textId="055E022C" w:rsidR="00E448E3" w:rsidRDefault="00E448E3" w:rsidP="00E448E3">
      <w:pPr>
        <w:spacing w:after="240"/>
        <w:jc w:val="both"/>
        <w:rPr>
          <w:rFonts w:eastAsiaTheme="minorEastAsia"/>
          <w:b/>
          <w:sz w:val="22"/>
          <w:lang w:val="en-US" w:eastAsia="ja-JP"/>
        </w:rPr>
      </w:pPr>
      <w:r w:rsidRPr="006959A9">
        <w:rPr>
          <w:rFonts w:eastAsiaTheme="minorEastAsia"/>
          <w:b/>
          <w:sz w:val="22"/>
          <w:u w:val="single"/>
          <w:lang w:val="en-US" w:eastAsia="ja-JP"/>
        </w:rPr>
        <w:t xml:space="preserve">Proposal </w:t>
      </w:r>
      <w:r>
        <w:rPr>
          <w:rFonts w:eastAsiaTheme="minorEastAsia" w:hint="eastAsia"/>
          <w:b/>
          <w:sz w:val="22"/>
          <w:u w:val="single"/>
          <w:lang w:val="en-US" w:eastAsia="ja-JP"/>
        </w:rPr>
        <w:t>2</w:t>
      </w:r>
      <w:r w:rsidRPr="006959A9">
        <w:rPr>
          <w:rFonts w:eastAsiaTheme="minorEastAsia"/>
          <w:b/>
          <w:sz w:val="22"/>
          <w:lang w:val="en-US" w:eastAsia="ja-JP"/>
        </w:rPr>
        <w:t>: For FR2, number of samples</w:t>
      </w:r>
      <w:r w:rsidR="000F384E" w:rsidRPr="000F384E">
        <w:rPr>
          <w:rFonts w:eastAsiaTheme="minorEastAsia"/>
          <w:b/>
          <w:sz w:val="22"/>
          <w:lang w:val="en-US" w:eastAsia="ja-JP"/>
        </w:rPr>
        <w:t xml:space="preserve"> </w:t>
      </w:r>
      <w:r w:rsidR="000F384E" w:rsidRPr="006959A9">
        <w:rPr>
          <w:rFonts w:eastAsiaTheme="minorEastAsia"/>
          <w:b/>
          <w:sz w:val="22"/>
          <w:lang w:val="en-US" w:eastAsia="ja-JP"/>
        </w:rPr>
        <w:t xml:space="preserve">to derive </w:t>
      </w:r>
      <w:r w:rsidR="000F384E">
        <w:rPr>
          <w:rFonts w:eastAsiaTheme="minorEastAsia" w:hint="eastAsia"/>
          <w:b/>
          <w:sz w:val="22"/>
          <w:lang w:val="en-US" w:eastAsia="ja-JP"/>
        </w:rPr>
        <w:t>SSB time index detection dela</w:t>
      </w:r>
      <w:r w:rsidR="000F384E" w:rsidRPr="000F384E">
        <w:rPr>
          <w:rFonts w:eastAsiaTheme="minorEastAsia" w:hint="eastAsia"/>
          <w:b/>
          <w:sz w:val="22"/>
          <w:lang w:val="en-US" w:eastAsia="ja-JP"/>
        </w:rPr>
        <w:t>y</w:t>
      </w:r>
      <w:r w:rsidRPr="000F384E">
        <w:rPr>
          <w:rFonts w:eastAsiaTheme="minorEastAsia"/>
          <w:b/>
          <w:sz w:val="22"/>
          <w:lang w:val="en-US" w:eastAsia="ja-JP"/>
        </w:rPr>
        <w:t xml:space="preserve">, </w:t>
      </w:r>
      <w:proofErr w:type="spellStart"/>
      <w:r w:rsidR="000F384E" w:rsidRPr="000F384E">
        <w:rPr>
          <w:b/>
        </w:rPr>
        <w:t>M</w:t>
      </w:r>
      <w:r w:rsidR="000F384E" w:rsidRPr="000F384E">
        <w:rPr>
          <w:b/>
          <w:vertAlign w:val="subscript"/>
        </w:rPr>
        <w:t>SSB_index_inter</w:t>
      </w:r>
      <w:proofErr w:type="spellEnd"/>
      <w:r w:rsidRPr="000F384E">
        <w:rPr>
          <w:rFonts w:eastAsiaTheme="minorEastAsia"/>
          <w:b/>
          <w:sz w:val="22"/>
          <w:lang w:val="en-US" w:eastAsia="ja-JP"/>
        </w:rPr>
        <w:t>, should b</w:t>
      </w:r>
      <w:r w:rsidRPr="006959A9">
        <w:rPr>
          <w:rFonts w:eastAsiaTheme="minorEastAsia"/>
          <w:b/>
          <w:sz w:val="22"/>
          <w:lang w:val="en-US" w:eastAsia="ja-JP"/>
        </w:rPr>
        <w:t>e defined as following</w:t>
      </w:r>
      <w:r>
        <w:rPr>
          <w:rFonts w:eastAsiaTheme="minorEastAsia" w:hint="eastAsia"/>
          <w:b/>
          <w:sz w:val="22"/>
          <w:lang w:val="en-US" w:eastAsia="ja-JP"/>
        </w:rPr>
        <w:t xml:space="preserve"> including AGC margin</w:t>
      </w:r>
      <w:r w:rsidRPr="006959A9">
        <w:rPr>
          <w:rFonts w:eastAsiaTheme="minorEastAsia"/>
          <w:b/>
          <w:sz w:val="22"/>
          <w:lang w:val="en-US" w:eastAsia="ja-JP"/>
        </w:rPr>
        <w:t>.</w:t>
      </w:r>
    </w:p>
    <w:p w14:paraId="02860C0F" w14:textId="4AFC2185" w:rsidR="000F384E" w:rsidRPr="000F384E" w:rsidRDefault="000F384E" w:rsidP="000F384E">
      <w:pPr>
        <w:pStyle w:val="a3"/>
        <w:numPr>
          <w:ilvl w:val="0"/>
          <w:numId w:val="35"/>
        </w:numPr>
        <w:spacing w:after="240"/>
        <w:ind w:leftChars="0"/>
        <w:jc w:val="both"/>
        <w:rPr>
          <w:rFonts w:eastAsiaTheme="minorEastAsia"/>
          <w:b/>
          <w:sz w:val="22"/>
          <w:lang w:val="en-US" w:eastAsia="ja-JP"/>
        </w:rPr>
      </w:pPr>
      <w:proofErr w:type="spellStart"/>
      <w:r w:rsidRPr="000F384E">
        <w:rPr>
          <w:b/>
        </w:rPr>
        <w:t>M</w:t>
      </w:r>
      <w:r w:rsidRPr="000F384E">
        <w:rPr>
          <w:b/>
          <w:vertAlign w:val="subscript"/>
        </w:rPr>
        <w:t>SSB_index_inter</w:t>
      </w:r>
      <w:proofErr w:type="spellEnd"/>
      <w:r w:rsidRPr="000F384E">
        <w:rPr>
          <w:b/>
        </w:rPr>
        <w:t xml:space="preserve"> </w:t>
      </w:r>
      <w:r w:rsidRPr="000F384E">
        <w:rPr>
          <w:rFonts w:eastAsiaTheme="minorEastAsia"/>
          <w:b/>
          <w:lang w:eastAsia="ja-JP"/>
        </w:rPr>
        <w:t xml:space="preserve">= </w:t>
      </w:r>
      <w:r w:rsidRPr="000F384E">
        <w:rPr>
          <w:rFonts w:eastAsiaTheme="minorEastAsia"/>
          <w:b/>
          <w:lang w:eastAsia="ja-JP"/>
        </w:rPr>
        <w:softHyphen/>
      </w:r>
      <w:r w:rsidRPr="000F384E">
        <w:rPr>
          <w:rFonts w:eastAsiaTheme="minorEastAsia"/>
          <w:b/>
          <w:lang w:val="en-US" w:eastAsia="ja-JP"/>
        </w:rPr>
        <w:t>[</w:t>
      </w:r>
      <w:r>
        <w:rPr>
          <w:rFonts w:eastAsiaTheme="minorEastAsia"/>
          <w:b/>
          <w:lang w:val="en-US" w:eastAsia="ja-JP"/>
        </w:rPr>
        <w:t xml:space="preserve">8] </w:t>
      </w:r>
      <w:r>
        <w:rPr>
          <w:rFonts w:eastAsiaTheme="minorEastAsia" w:hint="eastAsia"/>
          <w:b/>
          <w:lang w:val="en-US" w:eastAsia="ja-JP"/>
        </w:rPr>
        <w:t xml:space="preserve">irrespective of </w:t>
      </w:r>
      <w:r w:rsidR="00DA7D44">
        <w:rPr>
          <w:rFonts w:eastAsiaTheme="minorEastAsia" w:hint="eastAsia"/>
          <w:b/>
          <w:lang w:val="en-US" w:eastAsia="ja-JP"/>
        </w:rPr>
        <w:t xml:space="preserve">UE </w:t>
      </w:r>
      <w:r>
        <w:rPr>
          <w:rFonts w:eastAsiaTheme="minorEastAsia" w:hint="eastAsia"/>
          <w:b/>
          <w:lang w:val="en-US" w:eastAsia="ja-JP"/>
        </w:rPr>
        <w:t>power class</w:t>
      </w:r>
    </w:p>
    <w:p w14:paraId="4D30308F" w14:textId="60E6A030" w:rsidR="004C0BCB" w:rsidRPr="00C648CE" w:rsidRDefault="00BA648E" w:rsidP="00712632">
      <w:pPr>
        <w:pStyle w:val="2"/>
        <w:numPr>
          <w:ilvl w:val="0"/>
          <w:numId w:val="33"/>
        </w:numPr>
        <w:spacing w:after="240"/>
        <w:rPr>
          <w:rFonts w:ascii="Times New Roman" w:hAnsi="Times New Roman" w:cs="Times New Roman"/>
          <w:sz w:val="28"/>
          <w:lang w:val="en-US" w:eastAsia="ja-JP"/>
        </w:rPr>
      </w:pPr>
      <w:r>
        <w:rPr>
          <w:rFonts w:ascii="Times New Roman" w:hAnsi="Times New Roman" w:cs="Times New Roman" w:hint="eastAsia"/>
          <w:sz w:val="22"/>
          <w:lang w:eastAsia="ja-JP"/>
        </w:rPr>
        <w:t>Carrier Scaling Factor (CSF)</w:t>
      </w:r>
    </w:p>
    <w:p w14:paraId="3B81C8A5" w14:textId="2AF85F63" w:rsidR="004C0BCB" w:rsidRDefault="00712632" w:rsidP="00A53D4D">
      <w:pPr>
        <w:spacing w:after="240"/>
        <w:jc w:val="both"/>
        <w:rPr>
          <w:rFonts w:eastAsiaTheme="minorEastAsia"/>
          <w:sz w:val="22"/>
          <w:lang w:eastAsia="ja-JP"/>
        </w:rPr>
      </w:pPr>
      <w:r w:rsidRPr="00712632">
        <w:rPr>
          <w:rFonts w:eastAsiaTheme="minorEastAsia"/>
          <w:sz w:val="22"/>
          <w:lang w:eastAsia="ja-JP"/>
        </w:rPr>
        <w:t xml:space="preserve">In the previous RAN4 meetings, scaling factor considering different SMTC configurations on measured carriers have been discussed, but it has been still under discussion. In order to derive scaling factor for inter-frequency measurement requirement, two aspects </w:t>
      </w:r>
      <w:r w:rsidR="009C2365">
        <w:rPr>
          <w:rFonts w:eastAsiaTheme="minorEastAsia" w:hint="eastAsia"/>
          <w:sz w:val="22"/>
          <w:lang w:eastAsia="ja-JP"/>
        </w:rPr>
        <w:t>were pointed out</w:t>
      </w:r>
      <w:r w:rsidRPr="00712632">
        <w:rPr>
          <w:rFonts w:eastAsiaTheme="minorEastAsia"/>
          <w:sz w:val="22"/>
          <w:lang w:eastAsia="ja-JP"/>
        </w:rPr>
        <w:t>: one is efficiency on MG utilization, and the other is complexity on UE implementation. At RAN4#86bis meeting, following four alternatives were proposed by companies as captured in [</w:t>
      </w:r>
      <w:r w:rsidR="005350CB">
        <w:rPr>
          <w:rFonts w:eastAsiaTheme="minorEastAsia" w:hint="eastAsia"/>
          <w:sz w:val="22"/>
          <w:lang w:eastAsia="ja-JP"/>
        </w:rPr>
        <w:t>2</w:t>
      </w:r>
      <w:r w:rsidRPr="00712632">
        <w:rPr>
          <w:rFonts w:eastAsiaTheme="minorEastAsia"/>
          <w:sz w:val="22"/>
          <w:lang w:eastAsia="ja-JP"/>
        </w:rPr>
        <w:t>].</w:t>
      </w:r>
      <w:r w:rsidR="003E5118">
        <w:rPr>
          <w:rFonts w:eastAsiaTheme="minorEastAsia" w:hint="eastAsia"/>
          <w:sz w:val="22"/>
          <w:lang w:eastAsia="ja-JP"/>
        </w:rPr>
        <w:t xml:space="preserve"> From </w:t>
      </w:r>
      <w:r w:rsidR="000F36B3">
        <w:rPr>
          <w:rFonts w:eastAsiaTheme="minorEastAsia" w:hint="eastAsia"/>
          <w:sz w:val="22"/>
          <w:lang w:eastAsia="ja-JP"/>
        </w:rPr>
        <w:t xml:space="preserve">efficient </w:t>
      </w:r>
      <w:r w:rsidR="003E5118">
        <w:rPr>
          <w:rFonts w:eastAsiaTheme="minorEastAsia" w:hint="eastAsia"/>
          <w:sz w:val="22"/>
          <w:lang w:eastAsia="ja-JP"/>
        </w:rPr>
        <w:t>MG utilization point of view, some companies including us have proposed Alt.3 in [</w:t>
      </w:r>
      <w:r w:rsidR="005350CB">
        <w:rPr>
          <w:rFonts w:eastAsiaTheme="minorEastAsia" w:hint="eastAsia"/>
          <w:sz w:val="22"/>
          <w:lang w:eastAsia="ja-JP"/>
        </w:rPr>
        <w:t>2</w:t>
      </w:r>
      <w:r w:rsidR="003E5118">
        <w:rPr>
          <w:rFonts w:eastAsiaTheme="minorEastAsia" w:hint="eastAsia"/>
          <w:sz w:val="22"/>
          <w:lang w:eastAsia="ja-JP"/>
        </w:rPr>
        <w:t xml:space="preserve">], and this alternative could be </w:t>
      </w:r>
      <w:r w:rsidR="0012654A">
        <w:rPr>
          <w:rFonts w:eastAsiaTheme="minorEastAsia" w:hint="eastAsia"/>
          <w:sz w:val="22"/>
          <w:lang w:eastAsia="ja-JP"/>
        </w:rPr>
        <w:t xml:space="preserve">one of the </w:t>
      </w:r>
      <w:r w:rsidR="003E5118">
        <w:rPr>
          <w:rFonts w:eastAsiaTheme="minorEastAsia" w:hint="eastAsia"/>
          <w:sz w:val="22"/>
          <w:lang w:eastAsia="ja-JP"/>
        </w:rPr>
        <w:t>option</w:t>
      </w:r>
      <w:r w:rsidR="0012654A">
        <w:rPr>
          <w:rFonts w:eastAsiaTheme="minorEastAsia" w:hint="eastAsia"/>
          <w:sz w:val="22"/>
          <w:lang w:eastAsia="ja-JP"/>
        </w:rPr>
        <w:t>s</w:t>
      </w:r>
      <w:r w:rsidR="003E5118">
        <w:rPr>
          <w:rFonts w:eastAsiaTheme="minorEastAsia" w:hint="eastAsia"/>
          <w:sz w:val="22"/>
          <w:lang w:eastAsia="ja-JP"/>
        </w:rPr>
        <w:t xml:space="preserve"> to define the scaling factor.</w:t>
      </w:r>
    </w:p>
    <w:p w14:paraId="27B83C06" w14:textId="41CA21C8" w:rsidR="003E5118" w:rsidRPr="003E5118" w:rsidRDefault="003E5118" w:rsidP="003E5118">
      <w:pPr>
        <w:pStyle w:val="a3"/>
        <w:numPr>
          <w:ilvl w:val="0"/>
          <w:numId w:val="35"/>
        </w:numPr>
        <w:spacing w:before="240" w:after="240"/>
        <w:ind w:leftChars="0"/>
        <w:jc w:val="both"/>
        <w:rPr>
          <w:rFonts w:eastAsiaTheme="minorEastAsia"/>
          <w:sz w:val="22"/>
          <w:szCs w:val="22"/>
          <w:lang w:val="en-US" w:eastAsia="ja-JP"/>
        </w:rPr>
      </w:pPr>
      <w:r>
        <w:rPr>
          <w:rFonts w:eastAsiaTheme="minorEastAsia" w:hint="eastAsia"/>
          <w:sz w:val="22"/>
          <w:szCs w:val="22"/>
          <w:lang w:val="en-US" w:eastAsia="ja-JP"/>
        </w:rPr>
        <w:t xml:space="preserve">Option 1: Scaling factor based on averaged MG occasions utilized for measurement </w:t>
      </w:r>
      <w:r w:rsidR="00AA488E">
        <w:rPr>
          <w:rFonts w:eastAsiaTheme="minorEastAsia" w:hint="eastAsia"/>
          <w:sz w:val="22"/>
          <w:szCs w:val="22"/>
          <w:lang w:val="en-US" w:eastAsia="ja-JP"/>
        </w:rPr>
        <w:t>to optimize MG utilization efficiency</w:t>
      </w:r>
      <w:r>
        <w:rPr>
          <w:rFonts w:eastAsiaTheme="minorEastAsia" w:hint="eastAsia"/>
          <w:sz w:val="22"/>
          <w:szCs w:val="22"/>
          <w:lang w:val="en-US" w:eastAsia="ja-JP"/>
        </w:rPr>
        <w:t>. (e.g. Alt. 3 in [</w:t>
      </w:r>
      <w:r w:rsidR="005350CB">
        <w:rPr>
          <w:rFonts w:eastAsiaTheme="minorEastAsia" w:hint="eastAsia"/>
          <w:sz w:val="22"/>
          <w:szCs w:val="22"/>
          <w:lang w:val="en-US" w:eastAsia="ja-JP"/>
        </w:rPr>
        <w:t>2</w:t>
      </w:r>
      <w:r>
        <w:rPr>
          <w:rFonts w:eastAsiaTheme="minorEastAsia" w:hint="eastAsia"/>
          <w:sz w:val="22"/>
          <w:szCs w:val="22"/>
          <w:lang w:val="en-US" w:eastAsia="ja-JP"/>
        </w:rPr>
        <w:t>])</w:t>
      </w:r>
    </w:p>
    <w:tbl>
      <w:tblPr>
        <w:tblStyle w:val="ac"/>
        <w:tblW w:w="0" w:type="auto"/>
        <w:tblLook w:val="04A0" w:firstRow="1" w:lastRow="0" w:firstColumn="1" w:lastColumn="0" w:noHBand="0" w:noVBand="1"/>
      </w:tblPr>
      <w:tblGrid>
        <w:gridCol w:w="9855"/>
      </w:tblGrid>
      <w:tr w:rsidR="001E10D2" w:rsidRPr="001F4960" w14:paraId="69344974" w14:textId="77777777" w:rsidTr="008D025C">
        <w:tc>
          <w:tcPr>
            <w:tcW w:w="9855" w:type="dxa"/>
          </w:tcPr>
          <w:p w14:paraId="7145F012" w14:textId="247303F1" w:rsidR="003E5118" w:rsidRPr="003E5118" w:rsidRDefault="003E5118" w:rsidP="003E5118">
            <w:pPr>
              <w:spacing w:before="240" w:after="240"/>
              <w:rPr>
                <w:rFonts w:eastAsiaTheme="minorEastAsia"/>
                <w:sz w:val="22"/>
                <w:szCs w:val="22"/>
                <w:u w:val="single"/>
                <w:lang w:val="en-US" w:eastAsia="ja-JP"/>
              </w:rPr>
            </w:pPr>
            <w:r w:rsidRPr="003E5118">
              <w:rPr>
                <w:rFonts w:eastAsiaTheme="minorEastAsia"/>
                <w:sz w:val="22"/>
                <w:u w:val="single"/>
                <w:lang w:val="en-US" w:eastAsia="ja-JP"/>
              </w:rPr>
              <w:lastRenderedPageBreak/>
              <w:t>R4-1805565</w:t>
            </w:r>
          </w:p>
          <w:p w14:paraId="12477E68"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Alt1: The delay requirement is unified among different carriers,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w:t>
            </w:r>
          </w:p>
          <w:p w14:paraId="5BC90D88" w14:textId="77777777" w:rsidR="001E10D2" w:rsidRPr="001F4960" w:rsidRDefault="001E10D2" w:rsidP="008D025C">
            <w:pPr>
              <w:jc w:val="center"/>
              <w:rPr>
                <w:rFonts w:eastAsiaTheme="minorEastAsia"/>
                <w:sz w:val="22"/>
                <w:szCs w:val="22"/>
                <w:lang w:val="en-US" w:eastAsia="ja-JP"/>
              </w:rPr>
            </w:pPr>
            <w:r w:rsidRPr="001F4960">
              <w:rPr>
                <w:rFonts w:eastAsiaTheme="minorEastAsia"/>
                <w:sz w:val="22"/>
                <w:szCs w:val="22"/>
                <w:lang w:val="en-US" w:eastAsia="ja-JP"/>
              </w:rPr>
              <w:object w:dxaOrig="11940" w:dyaOrig="1455" w14:anchorId="5D4C0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5pt;height:29.2pt" o:ole="">
                  <v:imagedata r:id="rId8" o:title=""/>
                </v:shape>
                <o:OLEObject Type="Embed" ProgID="Unknown" ShapeID="_x0000_i1025" DrawAspect="Content" ObjectID="_1599671997" r:id="rId9"/>
              </w:object>
            </w:r>
          </w:p>
          <w:p w14:paraId="4B190B9F" w14:textId="77777777" w:rsidR="001E10D2" w:rsidRPr="001F4960" w:rsidRDefault="001E10D2" w:rsidP="008D025C">
            <w:pPr>
              <w:jc w:val="center"/>
              <w:rPr>
                <w:rFonts w:eastAsiaTheme="minorEastAsia"/>
                <w:sz w:val="22"/>
                <w:szCs w:val="22"/>
                <w:lang w:val="en-US" w:eastAsia="ja-JP"/>
              </w:rPr>
            </w:pPr>
          </w:p>
          <w:p w14:paraId="1ADFBE36"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Alt2: The delay requirement is per-carrier defined for each carrier,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 </w:t>
            </w:r>
          </w:p>
          <w:p w14:paraId="1490E33B" w14:textId="77777777" w:rsidR="001E10D2" w:rsidRPr="001F4960" w:rsidRDefault="001E10D2" w:rsidP="008D025C">
            <w:pPr>
              <w:rPr>
                <w:rFonts w:eastAsiaTheme="minorEastAsia"/>
                <w:sz w:val="22"/>
                <w:szCs w:val="22"/>
                <w:lang w:val="en-US" w:eastAsia="ja-JP"/>
              </w:rPr>
            </w:pPr>
          </w:p>
          <w:p w14:paraId="1569F819" w14:textId="77777777" w:rsidR="001E10D2" w:rsidRPr="001F4960" w:rsidRDefault="001E10D2" w:rsidP="008D025C">
            <w:pPr>
              <w:jc w:val="center"/>
              <w:rPr>
                <w:rFonts w:eastAsiaTheme="minorEastAsia"/>
                <w:sz w:val="22"/>
                <w:szCs w:val="22"/>
                <w:lang w:val="en-US" w:eastAsia="ja-JP"/>
              </w:rPr>
            </w:pPr>
            <w:r w:rsidRPr="001F4960">
              <w:rPr>
                <w:rFonts w:eastAsiaTheme="minorEastAsia"/>
                <w:sz w:val="22"/>
                <w:szCs w:val="22"/>
                <w:lang w:val="en-US" w:eastAsia="ja-JP"/>
              </w:rPr>
              <w:object w:dxaOrig="13515" w:dyaOrig="720" w14:anchorId="49E9F9E1">
                <v:shape id="_x0000_i1026" type="#_x0000_t75" style="width:329.45pt;height:18.35pt" o:ole="">
                  <v:imagedata r:id="rId10" o:title=""/>
                </v:shape>
                <o:OLEObject Type="Embed" ProgID="Unknown" ShapeID="_x0000_i1026" DrawAspect="Content" ObjectID="_1599671998" r:id="rId11"/>
              </w:object>
            </w:r>
          </w:p>
          <w:p w14:paraId="1D5F8A43" w14:textId="77777777" w:rsidR="001E10D2" w:rsidRPr="001F4960" w:rsidRDefault="001E10D2" w:rsidP="001E10D2">
            <w:pPr>
              <w:pStyle w:val="a3"/>
              <w:numPr>
                <w:ilvl w:val="1"/>
                <w:numId w:val="27"/>
              </w:numPr>
              <w:ind w:leftChars="0"/>
              <w:rPr>
                <w:rFonts w:eastAsiaTheme="minorEastAsia"/>
                <w:sz w:val="22"/>
                <w:szCs w:val="22"/>
                <w:lang w:val="en-US" w:eastAsia="ja-JP"/>
              </w:rPr>
            </w:pPr>
            <w:r w:rsidRPr="001F4960">
              <w:rPr>
                <w:rFonts w:eastAsiaTheme="minorEastAsia"/>
                <w:sz w:val="22"/>
                <w:szCs w:val="22"/>
                <w:lang w:val="en-US" w:eastAsia="ja-JP"/>
              </w:rPr>
              <w:t>The value of scaling factor in each carrier N</w:t>
            </w:r>
            <w:r w:rsidRPr="001F4960">
              <w:rPr>
                <w:rFonts w:eastAsiaTheme="minorEastAsia"/>
                <w:sz w:val="22"/>
                <w:szCs w:val="22"/>
                <w:vertAlign w:val="subscript"/>
                <w:lang w:val="en-US" w:eastAsia="ja-JP"/>
              </w:rPr>
              <w:t>scaling1,carrier_i</w:t>
            </w:r>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freq,fully</w:t>
            </w:r>
            <w:proofErr w:type="spellEnd"/>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freq,partially</w:t>
            </w:r>
            <w:proofErr w:type="spellEnd"/>
            <w:r w:rsidRPr="001F4960">
              <w:rPr>
                <w:rFonts w:eastAsiaTheme="minorEastAsia"/>
                <w:sz w:val="22"/>
                <w:szCs w:val="22"/>
                <w:lang w:val="en-US" w:eastAsia="ja-JP"/>
              </w:rPr>
              <w:t xml:space="preserve"> + 1 ≤ </w:t>
            </w:r>
            <w:proofErr w:type="spellStart"/>
            <w:r w:rsidRPr="001F4960">
              <w:rPr>
                <w:rFonts w:eastAsiaTheme="minorEastAsia"/>
                <w:sz w:val="22"/>
                <w:szCs w:val="22"/>
                <w:lang w:val="en-US" w:eastAsia="ja-JP"/>
              </w:rPr>
              <w:t>Nfreq</w:t>
            </w:r>
            <w:proofErr w:type="spellEnd"/>
            <w:r w:rsidRPr="001F4960">
              <w:rPr>
                <w:rFonts w:eastAsiaTheme="minorEastAsia"/>
                <w:sz w:val="22"/>
                <w:szCs w:val="22"/>
                <w:lang w:val="en-US" w:eastAsia="ja-JP"/>
              </w:rPr>
              <w:t xml:space="preserve"> </w:t>
            </w:r>
          </w:p>
          <w:p w14:paraId="7547E223"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Where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freq,fully</w:t>
            </w:r>
            <w:proofErr w:type="spellEnd"/>
            <w:r w:rsidRPr="001F4960">
              <w:rPr>
                <w:rFonts w:eastAsiaTheme="minorEastAsia"/>
                <w:sz w:val="22"/>
                <w:szCs w:val="22"/>
                <w:lang w:val="en-US" w:eastAsia="ja-JP"/>
              </w:rPr>
              <w:t xml:space="preserve"> is the number of carriers whose SMTC occasions are fully colliding with the SMTC occasions of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w:t>
            </w:r>
          </w:p>
          <w:p w14:paraId="61BB4296"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Where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spellEnd"/>
            <w:r w:rsidRPr="001F4960">
              <w:rPr>
                <w:rFonts w:eastAsiaTheme="minorEastAsia"/>
                <w:sz w:val="22"/>
                <w:szCs w:val="22"/>
                <w:vertAlign w:val="subscript"/>
                <w:lang w:val="en-US" w:eastAsia="ja-JP"/>
              </w:rPr>
              <w:t>, partially</w:t>
            </w:r>
            <w:r w:rsidRPr="001F4960">
              <w:rPr>
                <w:rFonts w:eastAsiaTheme="minorEastAsia"/>
                <w:sz w:val="22"/>
                <w:szCs w:val="22"/>
                <w:lang w:val="en-US" w:eastAsia="ja-JP"/>
              </w:rPr>
              <w:t xml:space="preserve"> is the number of carriers whose SMTC occasions are partially colliding with the SMTC occasions of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w:t>
            </w:r>
          </w:p>
          <w:p w14:paraId="67F667A8" w14:textId="77777777" w:rsidR="001E10D2" w:rsidRPr="001F4960" w:rsidRDefault="001E10D2" w:rsidP="008D025C">
            <w:pPr>
              <w:rPr>
                <w:rFonts w:eastAsiaTheme="minorEastAsia"/>
                <w:sz w:val="22"/>
                <w:szCs w:val="22"/>
                <w:lang w:val="en-US" w:eastAsia="ja-JP"/>
              </w:rPr>
            </w:pPr>
          </w:p>
          <w:p w14:paraId="72F378D6"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Alt3: The delay requirement is per-carrier defined for each carrier,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 </w:t>
            </w:r>
          </w:p>
          <w:p w14:paraId="016F9DA9" w14:textId="77777777" w:rsidR="001E10D2" w:rsidRPr="001F4960" w:rsidRDefault="001E10D2" w:rsidP="008D025C">
            <w:pPr>
              <w:rPr>
                <w:rFonts w:eastAsiaTheme="minorEastAsia"/>
                <w:sz w:val="22"/>
                <w:szCs w:val="22"/>
                <w:lang w:val="en-US" w:eastAsia="ja-JP"/>
              </w:rPr>
            </w:pPr>
          </w:p>
          <w:p w14:paraId="32000FDF" w14:textId="77777777" w:rsidR="001E10D2" w:rsidRPr="001F4960" w:rsidRDefault="001E10D2" w:rsidP="008D025C">
            <w:pPr>
              <w:tabs>
                <w:tab w:val="left" w:pos="2685"/>
              </w:tabs>
              <w:jc w:val="center"/>
              <w:rPr>
                <w:rFonts w:eastAsiaTheme="minorEastAsia"/>
                <w:sz w:val="22"/>
                <w:szCs w:val="22"/>
                <w:lang w:val="en-US" w:eastAsia="ja-JP"/>
              </w:rPr>
            </w:pPr>
            <w:r w:rsidRPr="001F4960">
              <w:rPr>
                <w:rFonts w:eastAsiaTheme="minorEastAsia"/>
                <w:sz w:val="22"/>
                <w:szCs w:val="22"/>
                <w:lang w:val="en-US" w:eastAsia="ja-JP"/>
              </w:rPr>
              <w:object w:dxaOrig="13860" w:dyaOrig="735" w14:anchorId="30240142">
                <v:shape id="_x0000_i1027" type="#_x0000_t75" style="width:313.15pt;height:16.3pt" o:ole="">
                  <v:imagedata r:id="rId12" o:title=""/>
                </v:shape>
                <o:OLEObject Type="Embed" ProgID="Unknown" ShapeID="_x0000_i1027" DrawAspect="Content" ObjectID="_1599671999" r:id="rId13"/>
              </w:object>
            </w:r>
          </w:p>
          <w:p w14:paraId="476DAFAF" w14:textId="77777777" w:rsidR="001E10D2" w:rsidRPr="001F4960" w:rsidRDefault="001E10D2" w:rsidP="008D025C">
            <w:pPr>
              <w:rPr>
                <w:rFonts w:eastAsiaTheme="minorEastAsia"/>
                <w:sz w:val="22"/>
                <w:szCs w:val="22"/>
                <w:lang w:val="en-US" w:eastAsia="ja-JP"/>
              </w:rPr>
            </w:pPr>
          </w:p>
          <w:p w14:paraId="55F9B177" w14:textId="77777777" w:rsidR="001E10D2" w:rsidRPr="001F4960" w:rsidRDefault="001E10D2" w:rsidP="001E10D2">
            <w:pPr>
              <w:pStyle w:val="a3"/>
              <w:numPr>
                <w:ilvl w:val="1"/>
                <w:numId w:val="27"/>
              </w:numPr>
              <w:ind w:leftChars="0"/>
              <w:rPr>
                <w:rFonts w:eastAsiaTheme="minorEastAsia"/>
                <w:sz w:val="22"/>
                <w:szCs w:val="22"/>
                <w:lang w:val="en-US" w:eastAsia="ja-JP"/>
              </w:rPr>
            </w:pPr>
            <w:r w:rsidRPr="001F4960">
              <w:rPr>
                <w:rFonts w:eastAsiaTheme="minorEastAsia"/>
                <w:sz w:val="22"/>
                <w:szCs w:val="22"/>
                <w:lang w:val="en-US" w:eastAsia="ja-JP"/>
              </w:rPr>
              <w:t>The value of scaling factor in each carrier N</w:t>
            </w:r>
            <w:r w:rsidRPr="001F4960">
              <w:rPr>
                <w:rFonts w:eastAsiaTheme="minorEastAsia"/>
                <w:sz w:val="22"/>
                <w:szCs w:val="22"/>
                <w:vertAlign w:val="subscript"/>
                <w:lang w:val="en-US" w:eastAsia="ja-JP"/>
              </w:rPr>
              <w:t>scaling2,carrier_i</w:t>
            </w:r>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spellEnd"/>
            <w:r w:rsidRPr="001F4960">
              <w:rPr>
                <w:rFonts w:eastAsiaTheme="minorEastAsia"/>
                <w:sz w:val="22"/>
                <w:szCs w:val="22"/>
                <w:vertAlign w:val="subscript"/>
                <w:lang w:val="en-US" w:eastAsia="ja-JP"/>
              </w:rPr>
              <w:t xml:space="preserve"> </w:t>
            </w:r>
          </w:p>
          <w:p w14:paraId="6719FF24"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The scaling factor is based on the assumption</w:t>
            </w:r>
          </w:p>
          <w:p w14:paraId="6B5DEAE8" w14:textId="77777777" w:rsidR="001E10D2" w:rsidRPr="001F4960"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The detailed principles to decide the value of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scaling,carrier_i</w:t>
            </w:r>
            <w:proofErr w:type="spellEnd"/>
            <w:r w:rsidRPr="001F4960">
              <w:rPr>
                <w:rFonts w:eastAsiaTheme="minorEastAsia"/>
                <w:sz w:val="22"/>
                <w:szCs w:val="22"/>
                <w:vertAlign w:val="subscript"/>
                <w:lang w:val="en-US" w:eastAsia="ja-JP"/>
              </w:rPr>
              <w:t xml:space="preserve"> </w:t>
            </w:r>
            <w:r w:rsidRPr="001F4960">
              <w:rPr>
                <w:rFonts w:eastAsiaTheme="minorEastAsia"/>
                <w:sz w:val="22"/>
                <w:szCs w:val="22"/>
                <w:lang w:val="en-US" w:eastAsia="ja-JP"/>
              </w:rPr>
              <w:t>refer to the Proposal 1 in [R4-1803787, Ericsson]</w:t>
            </w:r>
          </w:p>
          <w:p w14:paraId="0D09B687" w14:textId="77777777" w:rsidR="001E10D2" w:rsidRPr="001F4960" w:rsidRDefault="001E10D2" w:rsidP="008D025C">
            <w:pPr>
              <w:rPr>
                <w:rFonts w:eastAsiaTheme="minorEastAsia"/>
                <w:sz w:val="22"/>
                <w:szCs w:val="22"/>
                <w:lang w:val="en-US" w:eastAsia="ja-JP"/>
              </w:rPr>
            </w:pPr>
          </w:p>
          <w:p w14:paraId="48AC1044" w14:textId="77777777" w:rsidR="001E10D2" w:rsidRPr="001F4960" w:rsidRDefault="001E10D2" w:rsidP="001E10D2">
            <w:pPr>
              <w:pStyle w:val="a3"/>
              <w:numPr>
                <w:ilvl w:val="0"/>
                <w:numId w:val="27"/>
              </w:numPr>
              <w:ind w:leftChars="0"/>
              <w:rPr>
                <w:rFonts w:eastAsiaTheme="minorEastAsia"/>
                <w:sz w:val="22"/>
                <w:szCs w:val="22"/>
                <w:lang w:val="en-US" w:eastAsia="ja-JP"/>
              </w:rPr>
            </w:pPr>
            <w:r w:rsidRPr="001F4960">
              <w:rPr>
                <w:rFonts w:eastAsiaTheme="minorEastAsia"/>
                <w:sz w:val="22"/>
                <w:szCs w:val="22"/>
                <w:lang w:val="en-US" w:eastAsia="ja-JP"/>
              </w:rPr>
              <w:t>Alt4: The delay requirement is per-carrier defined for each carrier, and the requirement of inter-frequency carrier #</w:t>
            </w:r>
            <w:proofErr w:type="spellStart"/>
            <w:r w:rsidRPr="001F4960">
              <w:rPr>
                <w:rFonts w:eastAsiaTheme="minorEastAsia"/>
                <w:sz w:val="22"/>
                <w:szCs w:val="22"/>
                <w:lang w:val="en-US" w:eastAsia="ja-JP"/>
              </w:rPr>
              <w:t>i</w:t>
            </w:r>
            <w:proofErr w:type="spellEnd"/>
            <w:r w:rsidRPr="001F4960">
              <w:rPr>
                <w:rFonts w:eastAsiaTheme="minorEastAsia"/>
                <w:sz w:val="22"/>
                <w:szCs w:val="22"/>
                <w:lang w:val="en-US" w:eastAsia="ja-JP"/>
              </w:rPr>
              <w:t xml:space="preserve"> can be expressed as: </w:t>
            </w:r>
          </w:p>
          <w:p w14:paraId="0BF8D587" w14:textId="77777777" w:rsidR="001E10D2" w:rsidRPr="001F4960" w:rsidRDefault="001E10D2" w:rsidP="008D025C">
            <w:pPr>
              <w:rPr>
                <w:rFonts w:eastAsiaTheme="minorEastAsia"/>
                <w:sz w:val="22"/>
                <w:szCs w:val="22"/>
                <w:lang w:val="en-US" w:eastAsia="ja-JP"/>
              </w:rPr>
            </w:pPr>
          </w:p>
          <w:p w14:paraId="642440D5" w14:textId="77777777" w:rsidR="001E10D2" w:rsidRPr="001F4960" w:rsidRDefault="001E10D2" w:rsidP="008D025C">
            <w:pPr>
              <w:jc w:val="center"/>
              <w:rPr>
                <w:rFonts w:eastAsiaTheme="minorEastAsia"/>
                <w:sz w:val="22"/>
                <w:szCs w:val="22"/>
                <w:lang w:val="en-US" w:eastAsia="ja-JP"/>
              </w:rPr>
            </w:pPr>
            <w:r w:rsidRPr="001F4960">
              <w:rPr>
                <w:rFonts w:eastAsiaTheme="minorEastAsia"/>
                <w:sz w:val="22"/>
                <w:szCs w:val="22"/>
                <w:lang w:val="en-US" w:eastAsia="ja-JP"/>
              </w:rPr>
              <w:object w:dxaOrig="13320" w:dyaOrig="705" w14:anchorId="7051169E">
                <v:shape id="_x0000_i1028" type="#_x0000_t75" style="width:355.9pt;height:19pt" o:ole="">
                  <v:imagedata r:id="rId14" o:title=""/>
                </v:shape>
                <o:OLEObject Type="Embed" ProgID="Unknown" ShapeID="_x0000_i1028" DrawAspect="Content" ObjectID="_1599672000" r:id="rId15"/>
              </w:object>
            </w:r>
          </w:p>
          <w:p w14:paraId="5DD80C56" w14:textId="77777777" w:rsidR="001E10D2" w:rsidRPr="001F4960" w:rsidRDefault="001E10D2" w:rsidP="001E10D2">
            <w:pPr>
              <w:pStyle w:val="a3"/>
              <w:numPr>
                <w:ilvl w:val="1"/>
                <w:numId w:val="27"/>
              </w:numPr>
              <w:ind w:leftChars="0"/>
              <w:rPr>
                <w:rFonts w:eastAsiaTheme="minorEastAsia"/>
                <w:sz w:val="22"/>
                <w:szCs w:val="22"/>
                <w:lang w:val="en-US" w:eastAsia="ja-JP"/>
              </w:rPr>
            </w:pPr>
            <w:r w:rsidRPr="001F4960">
              <w:rPr>
                <w:rFonts w:eastAsiaTheme="minorEastAsia"/>
                <w:sz w:val="22"/>
                <w:szCs w:val="22"/>
                <w:lang w:val="en-US" w:eastAsia="ja-JP"/>
              </w:rPr>
              <w:t>The value of scaling factor in each carrier N</w:t>
            </w:r>
            <w:r w:rsidRPr="001F4960">
              <w:rPr>
                <w:rFonts w:eastAsiaTheme="minorEastAsia"/>
                <w:sz w:val="22"/>
                <w:szCs w:val="22"/>
                <w:vertAlign w:val="subscript"/>
                <w:lang w:val="en-US" w:eastAsia="ja-JP"/>
              </w:rPr>
              <w:t>scaling3,carrier_i</w:t>
            </w:r>
            <w:r w:rsidRPr="001F4960">
              <w:rPr>
                <w:rFonts w:eastAsiaTheme="minorEastAsia"/>
                <w:sz w:val="22"/>
                <w:szCs w:val="22"/>
                <w:lang w:val="en-US" w:eastAsia="ja-JP"/>
              </w:rPr>
              <w:t xml:space="preserve"> ≤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freq</w:t>
            </w:r>
            <w:proofErr w:type="spellEnd"/>
            <w:r w:rsidRPr="001F4960">
              <w:rPr>
                <w:rFonts w:eastAsiaTheme="minorEastAsia"/>
                <w:sz w:val="22"/>
                <w:szCs w:val="22"/>
                <w:vertAlign w:val="subscript"/>
                <w:lang w:val="en-US" w:eastAsia="ja-JP"/>
              </w:rPr>
              <w:t xml:space="preserve"> </w:t>
            </w:r>
          </w:p>
          <w:p w14:paraId="72D842F7" w14:textId="77777777" w:rsidR="001E10D2" w:rsidRDefault="001E10D2" w:rsidP="001E10D2">
            <w:pPr>
              <w:pStyle w:val="a3"/>
              <w:numPr>
                <w:ilvl w:val="3"/>
                <w:numId w:val="28"/>
              </w:numPr>
              <w:ind w:leftChars="0"/>
              <w:rPr>
                <w:rFonts w:eastAsiaTheme="minorEastAsia"/>
                <w:sz w:val="22"/>
                <w:szCs w:val="22"/>
                <w:lang w:val="en-US" w:eastAsia="ja-JP"/>
              </w:rPr>
            </w:pPr>
            <w:r w:rsidRPr="001F4960">
              <w:rPr>
                <w:rFonts w:eastAsiaTheme="minorEastAsia"/>
                <w:sz w:val="22"/>
                <w:szCs w:val="22"/>
                <w:lang w:val="en-US" w:eastAsia="ja-JP"/>
              </w:rPr>
              <w:t xml:space="preserve">The detailed principles to decide the value of </w:t>
            </w:r>
            <w:proofErr w:type="spellStart"/>
            <w:r w:rsidRPr="001F4960">
              <w:rPr>
                <w:rFonts w:eastAsiaTheme="minorEastAsia"/>
                <w:sz w:val="22"/>
                <w:szCs w:val="22"/>
                <w:lang w:val="en-US" w:eastAsia="ja-JP"/>
              </w:rPr>
              <w:t>N</w:t>
            </w:r>
            <w:r w:rsidRPr="001F4960">
              <w:rPr>
                <w:rFonts w:eastAsiaTheme="minorEastAsia"/>
                <w:sz w:val="22"/>
                <w:szCs w:val="22"/>
                <w:vertAlign w:val="subscript"/>
                <w:lang w:val="en-US" w:eastAsia="ja-JP"/>
              </w:rPr>
              <w:t>scaling,carrier_i</w:t>
            </w:r>
            <w:proofErr w:type="spellEnd"/>
            <w:r w:rsidRPr="001F4960">
              <w:rPr>
                <w:rFonts w:eastAsiaTheme="minorEastAsia"/>
                <w:sz w:val="22"/>
                <w:szCs w:val="22"/>
                <w:lang w:val="en-US" w:eastAsia="ja-JP"/>
              </w:rPr>
              <w:t xml:space="preserve"> refer to Page 4 in [R4-1804608, NTT DOCOMO]</w:t>
            </w:r>
          </w:p>
          <w:p w14:paraId="445E1ABB" w14:textId="77777777" w:rsidR="007C088D" w:rsidRPr="007C088D" w:rsidRDefault="007C088D" w:rsidP="00C422CA">
            <w:pPr>
              <w:spacing w:line="288" w:lineRule="auto"/>
              <w:jc w:val="both"/>
              <w:rPr>
                <w:rFonts w:eastAsiaTheme="minorEastAsia"/>
                <w:sz w:val="22"/>
                <w:szCs w:val="22"/>
                <w:lang w:val="en-US" w:eastAsia="ja-JP"/>
              </w:rPr>
            </w:pPr>
          </w:p>
        </w:tc>
      </w:tr>
    </w:tbl>
    <w:p w14:paraId="7AC0E6C3" w14:textId="16020688" w:rsidR="00823DBF" w:rsidRDefault="00A53D4D" w:rsidP="00106DBC">
      <w:pPr>
        <w:spacing w:before="240" w:after="240"/>
        <w:jc w:val="both"/>
        <w:rPr>
          <w:rFonts w:eastAsiaTheme="minorEastAsia"/>
          <w:sz w:val="22"/>
          <w:szCs w:val="22"/>
          <w:lang w:eastAsia="ja-JP"/>
        </w:rPr>
      </w:pPr>
      <w:r w:rsidRPr="00A53D4D">
        <w:rPr>
          <w:rFonts w:eastAsiaTheme="minorEastAsia"/>
          <w:sz w:val="22"/>
          <w:szCs w:val="22"/>
          <w:lang w:eastAsia="ja-JP"/>
        </w:rPr>
        <w:t xml:space="preserve">At the RAN4#88 meeting, another alternative was proposed to </w:t>
      </w:r>
      <w:r w:rsidR="00E73FF8">
        <w:rPr>
          <w:rFonts w:eastAsiaTheme="minorEastAsia" w:hint="eastAsia"/>
          <w:sz w:val="22"/>
          <w:szCs w:val="22"/>
          <w:lang w:eastAsia="ja-JP"/>
        </w:rPr>
        <w:t xml:space="preserve">make </w:t>
      </w:r>
      <w:r w:rsidR="0012654A">
        <w:rPr>
          <w:rFonts w:eastAsiaTheme="minorEastAsia"/>
          <w:sz w:val="22"/>
          <w:szCs w:val="22"/>
          <w:lang w:eastAsia="ja-JP"/>
        </w:rPr>
        <w:t xml:space="preserve">measurement </w:t>
      </w:r>
      <w:r w:rsidR="00E73FF8">
        <w:rPr>
          <w:rFonts w:eastAsiaTheme="minorEastAsia" w:hint="eastAsia"/>
          <w:sz w:val="22"/>
          <w:szCs w:val="22"/>
          <w:lang w:eastAsia="ja-JP"/>
        </w:rPr>
        <w:t xml:space="preserve">somewhat </w:t>
      </w:r>
      <w:r w:rsidR="00E73FF8">
        <w:rPr>
          <w:rFonts w:eastAsiaTheme="minorEastAsia"/>
          <w:sz w:val="22"/>
          <w:szCs w:val="22"/>
          <w:lang w:eastAsia="ja-JP"/>
        </w:rPr>
        <w:t>flexib</w:t>
      </w:r>
      <w:r w:rsidR="00E73FF8">
        <w:rPr>
          <w:rFonts w:eastAsiaTheme="minorEastAsia" w:hint="eastAsia"/>
          <w:sz w:val="22"/>
          <w:szCs w:val="22"/>
          <w:lang w:eastAsia="ja-JP"/>
        </w:rPr>
        <w:t>le</w:t>
      </w:r>
      <w:r w:rsidRPr="00A53D4D">
        <w:rPr>
          <w:rFonts w:eastAsiaTheme="minorEastAsia"/>
          <w:sz w:val="22"/>
          <w:szCs w:val="22"/>
          <w:lang w:eastAsia="ja-JP"/>
        </w:rPr>
        <w:t xml:space="preserve"> </w:t>
      </w:r>
      <w:r w:rsidRPr="00AA488E">
        <w:rPr>
          <w:rFonts w:eastAsiaTheme="minorEastAsia"/>
          <w:sz w:val="22"/>
          <w:szCs w:val="22"/>
          <w:lang w:eastAsia="ja-JP"/>
        </w:rPr>
        <w:t>[</w:t>
      </w:r>
      <w:r w:rsidR="005350CB" w:rsidRPr="00AA488E">
        <w:rPr>
          <w:rFonts w:eastAsiaTheme="minorEastAsia" w:hint="eastAsia"/>
          <w:sz w:val="22"/>
          <w:szCs w:val="22"/>
          <w:lang w:eastAsia="ja-JP"/>
        </w:rPr>
        <w:t>3</w:t>
      </w:r>
      <w:r w:rsidRPr="00AA488E">
        <w:rPr>
          <w:rFonts w:eastAsiaTheme="minorEastAsia"/>
          <w:sz w:val="22"/>
          <w:szCs w:val="22"/>
          <w:lang w:eastAsia="ja-JP"/>
        </w:rPr>
        <w:t>]</w:t>
      </w:r>
      <w:r w:rsidRPr="00A53D4D">
        <w:rPr>
          <w:rFonts w:eastAsiaTheme="minorEastAsia"/>
          <w:sz w:val="22"/>
          <w:szCs w:val="22"/>
          <w:lang w:eastAsia="ja-JP"/>
        </w:rPr>
        <w:t>. Following this alternative, scaling factor in case of multiple carriers in MG would be derived based on maximum number of measured carriers on a MG occasion within gap utilization reputation period</w:t>
      </w:r>
      <w:r w:rsidR="00823DBF">
        <w:rPr>
          <w:rFonts w:eastAsiaTheme="minorEastAsia" w:hint="eastAsia"/>
          <w:sz w:val="22"/>
          <w:szCs w:val="22"/>
          <w:lang w:eastAsia="ja-JP"/>
        </w:rPr>
        <w:t xml:space="preserve"> (GURP)</w:t>
      </w:r>
      <w:r w:rsidRPr="00A53D4D">
        <w:rPr>
          <w:rFonts w:eastAsiaTheme="minorEastAsia"/>
          <w:sz w:val="22"/>
          <w:szCs w:val="22"/>
          <w:lang w:eastAsia="ja-JP"/>
        </w:rPr>
        <w:t>.</w:t>
      </w:r>
    </w:p>
    <w:p w14:paraId="24A1D136" w14:textId="7A2B9CAE" w:rsidR="00823DBF" w:rsidRPr="00823DBF" w:rsidRDefault="00823DBF" w:rsidP="00042807">
      <w:pPr>
        <w:pStyle w:val="a3"/>
        <w:numPr>
          <w:ilvl w:val="0"/>
          <w:numId w:val="35"/>
        </w:numPr>
        <w:ind w:leftChars="0"/>
        <w:jc w:val="both"/>
        <w:rPr>
          <w:rFonts w:eastAsiaTheme="minorEastAsia"/>
          <w:sz w:val="22"/>
          <w:szCs w:val="22"/>
          <w:lang w:val="en-US" w:eastAsia="ja-JP"/>
        </w:rPr>
      </w:pPr>
      <w:r>
        <w:rPr>
          <w:rFonts w:eastAsiaTheme="minorEastAsia" w:hint="eastAsia"/>
          <w:sz w:val="22"/>
          <w:szCs w:val="22"/>
          <w:lang w:val="en-US" w:eastAsia="ja-JP"/>
        </w:rPr>
        <w:t xml:space="preserve">Option 2: Scaling </w:t>
      </w:r>
      <w:r>
        <w:rPr>
          <w:rFonts w:eastAsiaTheme="minorEastAsia"/>
          <w:sz w:val="22"/>
          <w:szCs w:val="22"/>
          <w:lang w:val="en-US" w:eastAsia="ja-JP"/>
        </w:rPr>
        <w:t>factor</w:t>
      </w:r>
      <w:r>
        <w:rPr>
          <w:rFonts w:eastAsiaTheme="minorEastAsia" w:hint="eastAsia"/>
          <w:sz w:val="22"/>
          <w:szCs w:val="22"/>
          <w:lang w:val="en-US" w:eastAsia="ja-JP"/>
        </w:rPr>
        <w:t xml:space="preserve"> based on maximum number of </w:t>
      </w:r>
      <w:r w:rsidRPr="00A53D4D">
        <w:rPr>
          <w:rFonts w:eastAsiaTheme="minorEastAsia"/>
          <w:sz w:val="22"/>
          <w:szCs w:val="22"/>
          <w:lang w:eastAsia="ja-JP"/>
        </w:rPr>
        <w:t xml:space="preserve">measured carriers on a MG </w:t>
      </w:r>
      <w:r>
        <w:rPr>
          <w:rFonts w:eastAsiaTheme="minorEastAsia"/>
          <w:sz w:val="22"/>
          <w:szCs w:val="22"/>
          <w:lang w:eastAsia="ja-JP"/>
        </w:rPr>
        <w:t xml:space="preserve">occasion within </w:t>
      </w:r>
      <w:r>
        <w:rPr>
          <w:rFonts w:eastAsiaTheme="minorEastAsia" w:hint="eastAsia"/>
          <w:sz w:val="22"/>
          <w:szCs w:val="22"/>
          <w:lang w:eastAsia="ja-JP"/>
        </w:rPr>
        <w:t>GURP</w:t>
      </w:r>
      <w:r>
        <w:rPr>
          <w:rFonts w:eastAsiaTheme="minorEastAsia" w:hint="eastAsia"/>
          <w:sz w:val="22"/>
          <w:szCs w:val="22"/>
          <w:lang w:val="en-US" w:eastAsia="ja-JP"/>
        </w:rPr>
        <w:t xml:space="preserve">. (e.g. </w:t>
      </w:r>
      <w:r w:rsidRPr="00042807">
        <w:rPr>
          <w:rFonts w:eastAsiaTheme="minorEastAsia" w:hint="eastAsia"/>
          <w:sz w:val="22"/>
          <w:szCs w:val="22"/>
          <w:lang w:val="en-US" w:eastAsia="ja-JP"/>
        </w:rPr>
        <w:t>R4-</w:t>
      </w:r>
      <w:r w:rsidR="00042807" w:rsidRPr="00042807">
        <w:rPr>
          <w:rFonts w:eastAsiaTheme="minorEastAsia"/>
          <w:sz w:val="22"/>
          <w:szCs w:val="22"/>
          <w:lang w:val="en-US" w:eastAsia="ja-JP"/>
        </w:rPr>
        <w:t>1811415</w:t>
      </w:r>
      <w:r w:rsidR="00042807">
        <w:rPr>
          <w:rFonts w:eastAsiaTheme="minorEastAsia" w:hint="eastAsia"/>
          <w:sz w:val="22"/>
          <w:szCs w:val="22"/>
          <w:lang w:val="en-US" w:eastAsia="ja-JP"/>
        </w:rPr>
        <w:t xml:space="preserve"> [</w:t>
      </w:r>
      <w:r w:rsidR="005350CB">
        <w:rPr>
          <w:rFonts w:eastAsiaTheme="minorEastAsia" w:hint="eastAsia"/>
          <w:sz w:val="22"/>
          <w:szCs w:val="22"/>
          <w:lang w:val="en-US" w:eastAsia="ja-JP"/>
        </w:rPr>
        <w:t>3</w:t>
      </w:r>
      <w:r w:rsidR="00042807">
        <w:rPr>
          <w:rFonts w:eastAsiaTheme="minorEastAsia" w:hint="eastAsia"/>
          <w:sz w:val="22"/>
          <w:szCs w:val="22"/>
          <w:lang w:val="en-US" w:eastAsia="ja-JP"/>
        </w:rPr>
        <w:t>]</w:t>
      </w:r>
      <w:r>
        <w:rPr>
          <w:rFonts w:eastAsiaTheme="minorEastAsia" w:hint="eastAsia"/>
          <w:sz w:val="22"/>
          <w:szCs w:val="22"/>
          <w:lang w:val="en-US" w:eastAsia="ja-JP"/>
        </w:rPr>
        <w:t>)</w:t>
      </w:r>
    </w:p>
    <w:p w14:paraId="00CCD7EB" w14:textId="7C226F1F" w:rsidR="00F21E2A" w:rsidRDefault="00573BA9" w:rsidP="00106DBC">
      <w:pPr>
        <w:spacing w:before="240" w:after="240"/>
        <w:jc w:val="both"/>
        <w:rPr>
          <w:rFonts w:eastAsiaTheme="minorEastAsia"/>
          <w:sz w:val="22"/>
          <w:szCs w:val="22"/>
          <w:lang w:eastAsia="ja-JP"/>
        </w:rPr>
      </w:pPr>
      <w:r>
        <w:rPr>
          <w:rFonts w:eastAsiaTheme="minorEastAsia" w:hint="eastAsia"/>
          <w:sz w:val="22"/>
          <w:szCs w:val="22"/>
          <w:lang w:eastAsia="ja-JP"/>
        </w:rPr>
        <w:t xml:space="preserve">From </w:t>
      </w:r>
      <w:r>
        <w:rPr>
          <w:rFonts w:eastAsiaTheme="minorEastAsia"/>
          <w:sz w:val="22"/>
          <w:szCs w:val="22"/>
          <w:lang w:eastAsia="ja-JP"/>
        </w:rPr>
        <w:t>mobility performance perspective, Option 1 or Option 2 would be prefer</w:t>
      </w:r>
      <w:r>
        <w:rPr>
          <w:rFonts w:eastAsiaTheme="minorEastAsia" w:hint="eastAsia"/>
          <w:sz w:val="22"/>
          <w:szCs w:val="22"/>
          <w:lang w:eastAsia="ja-JP"/>
        </w:rPr>
        <w:t>able</w:t>
      </w:r>
      <w:r w:rsidR="00660DDE">
        <w:rPr>
          <w:rFonts w:eastAsiaTheme="minorEastAsia" w:hint="eastAsia"/>
          <w:sz w:val="22"/>
          <w:szCs w:val="22"/>
          <w:lang w:eastAsia="ja-JP"/>
        </w:rPr>
        <w:t xml:space="preserve"> for us</w:t>
      </w:r>
      <w:r w:rsidR="008E22A4">
        <w:rPr>
          <w:rFonts w:eastAsiaTheme="minorEastAsia" w:hint="eastAsia"/>
          <w:sz w:val="22"/>
          <w:szCs w:val="22"/>
          <w:lang w:eastAsia="ja-JP"/>
        </w:rPr>
        <w:t xml:space="preserve"> since these options could realize shorter </w:t>
      </w:r>
      <w:r w:rsidR="008E22A4">
        <w:rPr>
          <w:rFonts w:eastAsiaTheme="minorEastAsia"/>
          <w:sz w:val="22"/>
          <w:szCs w:val="22"/>
          <w:lang w:eastAsia="ja-JP"/>
        </w:rPr>
        <w:t>measurement</w:t>
      </w:r>
      <w:r w:rsidR="008E22A4">
        <w:rPr>
          <w:rFonts w:eastAsiaTheme="minorEastAsia" w:hint="eastAsia"/>
          <w:sz w:val="22"/>
          <w:szCs w:val="22"/>
          <w:lang w:eastAsia="ja-JP"/>
        </w:rPr>
        <w:t xml:space="preserve"> delay</w:t>
      </w:r>
      <w:r>
        <w:rPr>
          <w:rFonts w:eastAsiaTheme="minorEastAsia"/>
          <w:sz w:val="22"/>
          <w:szCs w:val="22"/>
          <w:lang w:eastAsia="ja-JP"/>
        </w:rPr>
        <w:t>.</w:t>
      </w:r>
      <w:r>
        <w:rPr>
          <w:rFonts w:eastAsiaTheme="minorEastAsia" w:hint="eastAsia"/>
          <w:sz w:val="22"/>
          <w:szCs w:val="22"/>
          <w:lang w:eastAsia="ja-JP"/>
        </w:rPr>
        <w:t xml:space="preserve"> </w:t>
      </w:r>
      <w:r w:rsidR="00A53D4D" w:rsidRPr="00A53D4D">
        <w:rPr>
          <w:rFonts w:eastAsiaTheme="minorEastAsia"/>
          <w:sz w:val="22"/>
          <w:szCs w:val="22"/>
          <w:lang w:eastAsia="ja-JP"/>
        </w:rPr>
        <w:t>However, some companies would still have concerns</w:t>
      </w:r>
      <w:r>
        <w:rPr>
          <w:rFonts w:eastAsiaTheme="minorEastAsia" w:hint="eastAsia"/>
          <w:sz w:val="22"/>
          <w:szCs w:val="22"/>
          <w:lang w:eastAsia="ja-JP"/>
        </w:rPr>
        <w:t xml:space="preserve"> on Option 1 and Option 2</w:t>
      </w:r>
      <w:r w:rsidR="00A53D4D" w:rsidRPr="00A53D4D">
        <w:rPr>
          <w:rFonts w:eastAsiaTheme="minorEastAsia"/>
          <w:sz w:val="22"/>
          <w:szCs w:val="22"/>
          <w:lang w:eastAsia="ja-JP"/>
        </w:rPr>
        <w:t xml:space="preserve"> from UE implementation point of view, and proposed to specify requirements only limited scenarios</w:t>
      </w:r>
      <w:r w:rsidR="008E22A4">
        <w:rPr>
          <w:rFonts w:eastAsiaTheme="minorEastAsia" w:hint="eastAsia"/>
          <w:sz w:val="22"/>
          <w:szCs w:val="22"/>
          <w:lang w:eastAsia="ja-JP"/>
        </w:rPr>
        <w:t>, e.g. only one or two SMTC periodicities</w:t>
      </w:r>
      <w:r w:rsidR="00AA488E">
        <w:rPr>
          <w:rFonts w:eastAsiaTheme="minorEastAsia" w:hint="eastAsia"/>
          <w:sz w:val="22"/>
          <w:szCs w:val="22"/>
          <w:lang w:eastAsia="ja-JP"/>
        </w:rPr>
        <w:t xml:space="preserve"> would be considered</w:t>
      </w:r>
      <w:r w:rsidR="00A53D4D" w:rsidRPr="00A53D4D">
        <w:rPr>
          <w:rFonts w:eastAsiaTheme="minorEastAsia"/>
          <w:sz w:val="22"/>
          <w:szCs w:val="22"/>
          <w:lang w:eastAsia="ja-JP"/>
        </w:rPr>
        <w:t xml:space="preserve">. </w:t>
      </w:r>
      <w:r w:rsidR="00F21E2A">
        <w:rPr>
          <w:rFonts w:eastAsiaTheme="minorEastAsia" w:hint="eastAsia"/>
          <w:sz w:val="22"/>
          <w:szCs w:val="22"/>
          <w:lang w:eastAsia="ja-JP"/>
        </w:rPr>
        <w:t>Although this approach could simplify the specification, n</w:t>
      </w:r>
      <w:r w:rsidR="00A53D4D" w:rsidRPr="00A53D4D">
        <w:rPr>
          <w:rFonts w:eastAsiaTheme="minorEastAsia"/>
          <w:sz w:val="22"/>
          <w:szCs w:val="22"/>
          <w:lang w:eastAsia="ja-JP"/>
        </w:rPr>
        <w:t xml:space="preserve">arrowing down the specified scenarios would cause restriction on NW deployment. </w:t>
      </w:r>
      <w:r w:rsidR="002D085E">
        <w:rPr>
          <w:rFonts w:eastAsiaTheme="minorEastAsia" w:hint="eastAsia"/>
          <w:sz w:val="22"/>
          <w:szCs w:val="22"/>
          <w:lang w:eastAsia="ja-JP"/>
        </w:rPr>
        <w:t xml:space="preserve">As described above, we need to </w:t>
      </w:r>
      <w:r w:rsidR="002D085E">
        <w:rPr>
          <w:rFonts w:eastAsiaTheme="minorEastAsia"/>
          <w:sz w:val="22"/>
          <w:szCs w:val="22"/>
          <w:lang w:eastAsia="ja-JP"/>
        </w:rPr>
        <w:t>further</w:t>
      </w:r>
      <w:r w:rsidR="002D085E">
        <w:rPr>
          <w:rFonts w:eastAsiaTheme="minorEastAsia" w:hint="eastAsia"/>
          <w:sz w:val="22"/>
          <w:szCs w:val="22"/>
          <w:lang w:eastAsia="ja-JP"/>
        </w:rPr>
        <w:t xml:space="preserve"> discuss the requirement for inter-frequency </w:t>
      </w:r>
      <w:r w:rsidR="002D085E">
        <w:rPr>
          <w:rFonts w:eastAsiaTheme="minorEastAsia"/>
          <w:sz w:val="22"/>
          <w:szCs w:val="22"/>
          <w:lang w:eastAsia="ja-JP"/>
        </w:rPr>
        <w:t>measurement</w:t>
      </w:r>
      <w:r w:rsidR="002D085E">
        <w:rPr>
          <w:rFonts w:eastAsiaTheme="minorEastAsia" w:hint="eastAsia"/>
          <w:sz w:val="22"/>
          <w:szCs w:val="22"/>
          <w:lang w:eastAsia="ja-JP"/>
        </w:rPr>
        <w:t xml:space="preserve"> with taking at least following aspects into account.</w:t>
      </w:r>
    </w:p>
    <w:p w14:paraId="3D62C4DC" w14:textId="5C595284" w:rsidR="002D085E" w:rsidRDefault="00560239" w:rsidP="00560239">
      <w:pPr>
        <w:pStyle w:val="a3"/>
        <w:numPr>
          <w:ilvl w:val="0"/>
          <w:numId w:val="36"/>
        </w:numPr>
        <w:spacing w:before="240"/>
        <w:ind w:leftChars="0"/>
        <w:jc w:val="both"/>
        <w:rPr>
          <w:rFonts w:eastAsiaTheme="minorEastAsia"/>
          <w:sz w:val="22"/>
          <w:szCs w:val="22"/>
          <w:lang w:eastAsia="ja-JP"/>
        </w:rPr>
      </w:pPr>
      <w:r>
        <w:rPr>
          <w:rFonts w:eastAsiaTheme="minorEastAsia" w:hint="eastAsia"/>
          <w:sz w:val="22"/>
          <w:szCs w:val="22"/>
          <w:lang w:eastAsia="ja-JP"/>
        </w:rPr>
        <w:t>Efficiency on MG utilization to realize shorter measurement delay</w:t>
      </w:r>
    </w:p>
    <w:p w14:paraId="742C2376" w14:textId="70880DA3" w:rsidR="00560239" w:rsidRDefault="004F582C" w:rsidP="00560239">
      <w:pPr>
        <w:pStyle w:val="a3"/>
        <w:numPr>
          <w:ilvl w:val="0"/>
          <w:numId w:val="36"/>
        </w:numPr>
        <w:ind w:leftChars="0"/>
        <w:jc w:val="both"/>
        <w:rPr>
          <w:rFonts w:eastAsiaTheme="minorEastAsia"/>
          <w:sz w:val="22"/>
          <w:szCs w:val="22"/>
          <w:lang w:eastAsia="ja-JP"/>
        </w:rPr>
      </w:pPr>
      <w:r>
        <w:rPr>
          <w:rFonts w:eastAsiaTheme="minorEastAsia" w:hint="eastAsia"/>
          <w:sz w:val="22"/>
          <w:szCs w:val="22"/>
          <w:lang w:eastAsia="ja-JP"/>
        </w:rPr>
        <w:t>Complexity on UE implementation</w:t>
      </w:r>
    </w:p>
    <w:p w14:paraId="699E1492" w14:textId="2E8015EF" w:rsidR="004F582C" w:rsidRDefault="004F582C" w:rsidP="004F582C">
      <w:pPr>
        <w:pStyle w:val="a3"/>
        <w:numPr>
          <w:ilvl w:val="0"/>
          <w:numId w:val="36"/>
        </w:numPr>
        <w:spacing w:after="240"/>
        <w:ind w:leftChars="0"/>
        <w:jc w:val="both"/>
        <w:rPr>
          <w:rFonts w:eastAsiaTheme="minorEastAsia"/>
          <w:sz w:val="22"/>
          <w:szCs w:val="22"/>
          <w:lang w:eastAsia="ja-JP"/>
        </w:rPr>
      </w:pPr>
      <w:r>
        <w:rPr>
          <w:rFonts w:eastAsiaTheme="minorEastAsia" w:hint="eastAsia"/>
          <w:sz w:val="22"/>
          <w:szCs w:val="22"/>
          <w:lang w:eastAsia="ja-JP"/>
        </w:rPr>
        <w:t>Flexibility on NW configuration</w:t>
      </w:r>
    </w:p>
    <w:p w14:paraId="1F64DF0B" w14:textId="213B4D1C" w:rsidR="00D1267D" w:rsidRDefault="00D1267D" w:rsidP="00D1267D">
      <w:pPr>
        <w:spacing w:before="240" w:after="240"/>
        <w:jc w:val="both"/>
        <w:rPr>
          <w:rFonts w:eastAsiaTheme="minorEastAsia"/>
          <w:sz w:val="22"/>
          <w:szCs w:val="22"/>
          <w:lang w:eastAsia="ja-JP"/>
        </w:rPr>
      </w:pPr>
      <w:r>
        <w:rPr>
          <w:rFonts w:eastAsiaTheme="minorEastAsia" w:hint="eastAsia"/>
          <w:sz w:val="22"/>
          <w:szCs w:val="22"/>
          <w:lang w:eastAsia="ja-JP"/>
        </w:rPr>
        <w:lastRenderedPageBreak/>
        <w:t xml:space="preserve">First of all, we could consider about simple cases, for example, the case where SMTC window on a measured carrier is fully overlapped or fully non-overlapped with those on the </w:t>
      </w:r>
      <w:r>
        <w:rPr>
          <w:rFonts w:eastAsiaTheme="minorEastAsia"/>
          <w:sz w:val="22"/>
          <w:szCs w:val="22"/>
          <w:lang w:eastAsia="ja-JP"/>
        </w:rPr>
        <w:t>other</w:t>
      </w:r>
      <w:r>
        <w:rPr>
          <w:rFonts w:eastAsiaTheme="minorEastAsia" w:hint="eastAsia"/>
          <w:sz w:val="22"/>
          <w:szCs w:val="22"/>
          <w:lang w:eastAsia="ja-JP"/>
        </w:rPr>
        <w:t xml:space="preserve"> carriers. </w:t>
      </w:r>
      <w:r w:rsidRPr="00A53D4D">
        <w:rPr>
          <w:rFonts w:eastAsiaTheme="minorEastAsia"/>
          <w:sz w:val="22"/>
          <w:szCs w:val="22"/>
          <w:lang w:eastAsia="ja-JP"/>
        </w:rPr>
        <w:t xml:space="preserve">In this case, it would be straightforward to derive scaling factor. In other words, scaling factor for fully overlapped carriers could be derived based on number of measured carriers, and that for fully non-overlapped carriers could be 1, that is to say, measurements for such carriers do not relaxed. </w:t>
      </w:r>
    </w:p>
    <w:p w14:paraId="7BCD76FE" w14:textId="1D51A432" w:rsidR="00D1267D" w:rsidRDefault="00D1267D" w:rsidP="00D1267D">
      <w:pPr>
        <w:spacing w:before="240" w:after="240"/>
        <w:jc w:val="both"/>
        <w:rPr>
          <w:rFonts w:eastAsiaTheme="minorEastAsia"/>
          <w:b/>
          <w:sz w:val="22"/>
          <w:szCs w:val="22"/>
          <w:lang w:eastAsia="ja-JP"/>
        </w:rPr>
      </w:pPr>
      <w:r w:rsidRPr="00573BA9">
        <w:rPr>
          <w:rFonts w:eastAsiaTheme="minorEastAsia" w:hint="eastAsia"/>
          <w:b/>
          <w:sz w:val="22"/>
          <w:szCs w:val="22"/>
          <w:u w:val="single"/>
          <w:lang w:eastAsia="ja-JP"/>
        </w:rPr>
        <w:t>Observation 1</w:t>
      </w:r>
      <w:r w:rsidRPr="00573BA9">
        <w:rPr>
          <w:rFonts w:eastAsiaTheme="minorEastAsia" w:hint="eastAsia"/>
          <w:b/>
          <w:sz w:val="22"/>
          <w:szCs w:val="22"/>
          <w:lang w:eastAsia="ja-JP"/>
        </w:rPr>
        <w:t>: In case where SMTC window</w:t>
      </w:r>
      <w:r>
        <w:rPr>
          <w:rFonts w:eastAsiaTheme="minorEastAsia" w:hint="eastAsia"/>
          <w:b/>
          <w:sz w:val="22"/>
          <w:szCs w:val="22"/>
          <w:lang w:eastAsia="ja-JP"/>
        </w:rPr>
        <w:t xml:space="preserve"> on a measured carrier</w:t>
      </w:r>
      <w:r w:rsidRPr="00573BA9">
        <w:rPr>
          <w:rFonts w:eastAsiaTheme="minorEastAsia" w:hint="eastAsia"/>
          <w:b/>
          <w:sz w:val="22"/>
          <w:szCs w:val="22"/>
          <w:lang w:eastAsia="ja-JP"/>
        </w:rPr>
        <w:t xml:space="preserve"> is fully non-overlapped or fully overlapped with </w:t>
      </w:r>
      <w:r w:rsidR="00F43A23">
        <w:rPr>
          <w:rFonts w:eastAsiaTheme="minorEastAsia" w:hint="eastAsia"/>
          <w:b/>
          <w:sz w:val="22"/>
          <w:szCs w:val="22"/>
          <w:lang w:eastAsia="ja-JP"/>
        </w:rPr>
        <w:t xml:space="preserve">that on </w:t>
      </w:r>
      <w:r w:rsidRPr="00573BA9">
        <w:rPr>
          <w:rFonts w:eastAsiaTheme="minorEastAsia" w:hint="eastAsia"/>
          <w:b/>
          <w:sz w:val="22"/>
          <w:szCs w:val="22"/>
          <w:lang w:eastAsia="ja-JP"/>
        </w:rPr>
        <w:t xml:space="preserve">the </w:t>
      </w:r>
      <w:r w:rsidRPr="00573BA9">
        <w:rPr>
          <w:rFonts w:eastAsiaTheme="minorEastAsia"/>
          <w:b/>
          <w:sz w:val="22"/>
          <w:szCs w:val="22"/>
          <w:lang w:eastAsia="ja-JP"/>
        </w:rPr>
        <w:t>other</w:t>
      </w:r>
      <w:r w:rsidRPr="00573BA9">
        <w:rPr>
          <w:rFonts w:eastAsiaTheme="minorEastAsia" w:hint="eastAsia"/>
          <w:b/>
          <w:sz w:val="22"/>
          <w:szCs w:val="22"/>
          <w:lang w:eastAsia="ja-JP"/>
        </w:rPr>
        <w:t xml:space="preserve"> carriers, CSF should be </w:t>
      </w:r>
      <w:r>
        <w:rPr>
          <w:rFonts w:eastAsiaTheme="minorEastAsia" w:hint="eastAsia"/>
          <w:b/>
          <w:sz w:val="22"/>
          <w:szCs w:val="22"/>
          <w:lang w:eastAsia="ja-JP"/>
        </w:rPr>
        <w:t xml:space="preserve">defined </w:t>
      </w:r>
      <w:r w:rsidRPr="00573BA9">
        <w:rPr>
          <w:rFonts w:eastAsiaTheme="minorEastAsia" w:hint="eastAsia"/>
          <w:b/>
          <w:sz w:val="22"/>
          <w:szCs w:val="22"/>
          <w:lang w:eastAsia="ja-JP"/>
        </w:rPr>
        <w:t>as following.</w:t>
      </w:r>
    </w:p>
    <w:p w14:paraId="145AF1DA" w14:textId="77777777" w:rsidR="00D1267D" w:rsidRDefault="00D1267D" w:rsidP="00D1267D">
      <w:pPr>
        <w:pStyle w:val="a3"/>
        <w:numPr>
          <w:ilvl w:val="0"/>
          <w:numId w:val="35"/>
        </w:numPr>
        <w:spacing w:before="240"/>
        <w:ind w:leftChars="0"/>
        <w:jc w:val="both"/>
        <w:rPr>
          <w:rFonts w:eastAsiaTheme="minorEastAsia"/>
          <w:b/>
          <w:sz w:val="22"/>
          <w:szCs w:val="22"/>
          <w:lang w:eastAsia="ja-JP"/>
        </w:rPr>
      </w:pPr>
      <w:r>
        <w:rPr>
          <w:rFonts w:eastAsiaTheme="minorEastAsia" w:hint="eastAsia"/>
          <w:b/>
          <w:sz w:val="22"/>
          <w:szCs w:val="22"/>
          <w:lang w:eastAsia="ja-JP"/>
        </w:rPr>
        <w:t>CSF = 1, when SMTC window is fully non-overlapped with the other measured carriers.</w:t>
      </w:r>
    </w:p>
    <w:p w14:paraId="7FFCEA2B" w14:textId="77777777" w:rsidR="00D1267D" w:rsidRPr="00573BA9" w:rsidRDefault="00D1267D" w:rsidP="00D1267D">
      <w:pPr>
        <w:pStyle w:val="a3"/>
        <w:numPr>
          <w:ilvl w:val="0"/>
          <w:numId w:val="35"/>
        </w:numPr>
        <w:spacing w:after="240"/>
        <w:ind w:leftChars="0"/>
        <w:jc w:val="both"/>
        <w:rPr>
          <w:rFonts w:eastAsiaTheme="minorEastAsia"/>
          <w:b/>
          <w:sz w:val="22"/>
          <w:szCs w:val="22"/>
          <w:lang w:eastAsia="ja-JP"/>
        </w:rPr>
      </w:pPr>
      <w:r>
        <w:rPr>
          <w:rFonts w:eastAsiaTheme="minorEastAsia" w:hint="eastAsia"/>
          <w:b/>
          <w:sz w:val="22"/>
          <w:szCs w:val="22"/>
          <w:lang w:eastAsia="ja-JP"/>
        </w:rPr>
        <w:t>CSF = Number of measured carriers, when SMTC window is fully overlapped with the other measured carriers.</w:t>
      </w:r>
    </w:p>
    <w:p w14:paraId="4B4591C1" w14:textId="1A755DF9" w:rsidR="00D1267D" w:rsidRDefault="00A40D80" w:rsidP="00D1267D">
      <w:pPr>
        <w:spacing w:after="240"/>
        <w:jc w:val="both"/>
        <w:rPr>
          <w:rFonts w:eastAsiaTheme="minorEastAsia"/>
          <w:sz w:val="22"/>
          <w:szCs w:val="22"/>
          <w:lang w:eastAsia="ja-JP"/>
        </w:rPr>
      </w:pPr>
      <w:r w:rsidRPr="00A53D4D">
        <w:rPr>
          <w:rFonts w:eastAsiaTheme="minorEastAsia"/>
          <w:sz w:val="22"/>
          <w:szCs w:val="22"/>
          <w:lang w:eastAsia="ja-JP"/>
        </w:rPr>
        <w:t>Then, we can take the case where NW configure</w:t>
      </w:r>
      <w:r>
        <w:rPr>
          <w:rFonts w:eastAsiaTheme="minorEastAsia" w:hint="eastAsia"/>
          <w:sz w:val="22"/>
          <w:szCs w:val="22"/>
          <w:lang w:eastAsia="ja-JP"/>
        </w:rPr>
        <w:t>s</w:t>
      </w:r>
      <w:r w:rsidRPr="00A53D4D">
        <w:rPr>
          <w:rFonts w:eastAsiaTheme="minorEastAsia"/>
          <w:sz w:val="22"/>
          <w:szCs w:val="22"/>
          <w:lang w:eastAsia="ja-JP"/>
        </w:rPr>
        <w:t xml:space="preserve"> two different SMTC periodicit</w:t>
      </w:r>
      <w:r>
        <w:rPr>
          <w:rFonts w:eastAsiaTheme="minorEastAsia" w:hint="eastAsia"/>
          <w:sz w:val="22"/>
          <w:szCs w:val="22"/>
          <w:lang w:eastAsia="ja-JP"/>
        </w:rPr>
        <w:t>ies</w:t>
      </w:r>
      <w:r w:rsidR="003343E7">
        <w:rPr>
          <w:rFonts w:eastAsiaTheme="minorEastAsia" w:hint="eastAsia"/>
          <w:sz w:val="22"/>
          <w:szCs w:val="22"/>
          <w:lang w:eastAsia="ja-JP"/>
        </w:rPr>
        <w:t>, e.g. Figure 1</w:t>
      </w:r>
      <w:r w:rsidRPr="00A53D4D">
        <w:rPr>
          <w:rFonts w:eastAsiaTheme="minorEastAsia"/>
          <w:sz w:val="22"/>
          <w:szCs w:val="22"/>
          <w:lang w:eastAsia="ja-JP"/>
        </w:rPr>
        <w:t>. This would frequently occur, for example, NW configure</w:t>
      </w:r>
      <w:r>
        <w:rPr>
          <w:rFonts w:eastAsiaTheme="minorEastAsia" w:hint="eastAsia"/>
          <w:sz w:val="22"/>
          <w:szCs w:val="22"/>
          <w:lang w:eastAsia="ja-JP"/>
        </w:rPr>
        <w:t>s</w:t>
      </w:r>
      <w:r w:rsidRPr="00A53D4D">
        <w:rPr>
          <w:rFonts w:eastAsiaTheme="minorEastAsia"/>
          <w:sz w:val="22"/>
          <w:szCs w:val="22"/>
          <w:lang w:eastAsia="ja-JP"/>
        </w:rPr>
        <w:t xml:space="preserve"> different SMTC periodicity on FR2 carrier than FR1 carrier. As we mentioned above, scaling factor for FR2 carriers might have significant impact on delay requirement, and hence, scaling factor should be defined to optimize MG utilization at least for this case.</w:t>
      </w:r>
      <w:r>
        <w:rPr>
          <w:rFonts w:eastAsiaTheme="minorEastAsia" w:hint="eastAsia"/>
          <w:sz w:val="22"/>
          <w:szCs w:val="22"/>
          <w:lang w:eastAsia="ja-JP"/>
        </w:rPr>
        <w:t xml:space="preserve"> Otherwise, system performance would be degraded due to quite long </w:t>
      </w:r>
      <w:r w:rsidR="000B5916">
        <w:rPr>
          <w:rFonts w:eastAsiaTheme="minorEastAsia" w:hint="eastAsia"/>
          <w:sz w:val="22"/>
          <w:szCs w:val="22"/>
          <w:lang w:eastAsia="ja-JP"/>
        </w:rPr>
        <w:t>measurement delay</w:t>
      </w:r>
      <w:r w:rsidR="008806AC">
        <w:rPr>
          <w:rFonts w:eastAsiaTheme="minorEastAsia" w:hint="eastAsia"/>
          <w:sz w:val="22"/>
          <w:szCs w:val="22"/>
          <w:lang w:eastAsia="ja-JP"/>
        </w:rPr>
        <w:t>.</w:t>
      </w:r>
    </w:p>
    <w:p w14:paraId="20652BAB" w14:textId="77777777" w:rsidR="00B570FD" w:rsidRDefault="00B570FD" w:rsidP="00B570FD">
      <w:pPr>
        <w:keepNext/>
        <w:spacing w:after="240"/>
        <w:jc w:val="both"/>
      </w:pPr>
      <w:r>
        <w:rPr>
          <w:rFonts w:eastAsiaTheme="minorEastAsia"/>
          <w:noProof/>
          <w:sz w:val="22"/>
          <w:szCs w:val="22"/>
          <w:lang w:val="en-US" w:eastAsia="ja-JP"/>
        </w:rPr>
        <w:drawing>
          <wp:inline distT="0" distB="0" distL="0" distR="0" wp14:anchorId="338CA1CA" wp14:editId="19FBB80B">
            <wp:extent cx="6349042" cy="1124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66419" cy="1127477"/>
                    </a:xfrm>
                    <a:prstGeom prst="rect">
                      <a:avLst/>
                    </a:prstGeom>
                    <a:noFill/>
                    <a:ln>
                      <a:noFill/>
                    </a:ln>
                  </pic:spPr>
                </pic:pic>
              </a:graphicData>
            </a:graphic>
          </wp:inline>
        </w:drawing>
      </w:r>
    </w:p>
    <w:p w14:paraId="4270FF01" w14:textId="59AF5055" w:rsidR="00B570FD" w:rsidRDefault="00B570FD" w:rsidP="00021F85">
      <w:pPr>
        <w:pStyle w:val="a7"/>
        <w:jc w:val="both"/>
        <w:rPr>
          <w:rFonts w:eastAsiaTheme="minorEastAsia"/>
          <w:lang w:eastAsia="ja-JP"/>
        </w:rPr>
      </w:pPr>
      <w:r>
        <w:t xml:space="preserve">Figure </w:t>
      </w:r>
      <w:r>
        <w:fldChar w:fldCharType="begin"/>
      </w:r>
      <w:r>
        <w:instrText xml:space="preserve"> SEQ Figure \* ARABIC </w:instrText>
      </w:r>
      <w:r>
        <w:fldChar w:fldCharType="separate"/>
      </w:r>
      <w:r w:rsidR="00967887">
        <w:rPr>
          <w:noProof/>
        </w:rPr>
        <w:t>1</w:t>
      </w:r>
      <w:r>
        <w:fldChar w:fldCharType="end"/>
      </w:r>
      <w:r>
        <w:rPr>
          <w:rFonts w:eastAsiaTheme="minorEastAsia" w:hint="eastAsia"/>
          <w:lang w:eastAsia="ja-JP"/>
        </w:rPr>
        <w:t>: Example for the case where there would be two carriers which have different SMTC periodicities</w:t>
      </w:r>
    </w:p>
    <w:p w14:paraId="2A8E20F3" w14:textId="77777777" w:rsidR="003343E7" w:rsidRPr="003343E7" w:rsidRDefault="003343E7" w:rsidP="003343E7">
      <w:pPr>
        <w:rPr>
          <w:rFonts w:eastAsiaTheme="minorEastAsia"/>
          <w:lang w:eastAsia="ja-JP"/>
        </w:rPr>
      </w:pPr>
    </w:p>
    <w:p w14:paraId="38520F28" w14:textId="5C759C79" w:rsidR="00B570FD" w:rsidRDefault="00B570FD" w:rsidP="00B570FD">
      <w:pPr>
        <w:spacing w:before="240" w:after="240"/>
        <w:jc w:val="both"/>
        <w:rPr>
          <w:rFonts w:eastAsiaTheme="minorEastAsia"/>
          <w:b/>
          <w:sz w:val="22"/>
          <w:szCs w:val="22"/>
          <w:lang w:eastAsia="ja-JP"/>
        </w:rPr>
      </w:pPr>
      <w:r>
        <w:rPr>
          <w:rFonts w:eastAsiaTheme="minorEastAsia" w:hint="eastAsia"/>
          <w:b/>
          <w:sz w:val="22"/>
          <w:szCs w:val="22"/>
          <w:u w:val="single"/>
          <w:lang w:eastAsia="ja-JP"/>
        </w:rPr>
        <w:t>Observation 2</w:t>
      </w:r>
      <w:r w:rsidRPr="00573BA9">
        <w:rPr>
          <w:rFonts w:eastAsiaTheme="minorEastAsia" w:hint="eastAsia"/>
          <w:b/>
          <w:sz w:val="22"/>
          <w:szCs w:val="22"/>
          <w:lang w:eastAsia="ja-JP"/>
        </w:rPr>
        <w:t xml:space="preserve">: </w:t>
      </w:r>
      <w:r>
        <w:rPr>
          <w:rFonts w:eastAsiaTheme="minorEastAsia" w:hint="eastAsia"/>
          <w:b/>
          <w:sz w:val="22"/>
          <w:szCs w:val="22"/>
          <w:lang w:eastAsia="ja-JP"/>
        </w:rPr>
        <w:t>At least i</w:t>
      </w:r>
      <w:r w:rsidRPr="00573BA9">
        <w:rPr>
          <w:rFonts w:eastAsiaTheme="minorEastAsia" w:hint="eastAsia"/>
          <w:b/>
          <w:sz w:val="22"/>
          <w:szCs w:val="22"/>
          <w:lang w:eastAsia="ja-JP"/>
        </w:rPr>
        <w:t xml:space="preserve">n case where </w:t>
      </w:r>
      <w:r>
        <w:rPr>
          <w:rFonts w:eastAsiaTheme="minorEastAsia" w:hint="eastAsia"/>
          <w:b/>
          <w:sz w:val="22"/>
          <w:szCs w:val="22"/>
          <w:lang w:eastAsia="ja-JP"/>
        </w:rPr>
        <w:t xml:space="preserve">measured carriers have two different </w:t>
      </w:r>
      <w:r w:rsidRPr="00573BA9">
        <w:rPr>
          <w:rFonts w:eastAsiaTheme="minorEastAsia" w:hint="eastAsia"/>
          <w:b/>
          <w:sz w:val="22"/>
          <w:szCs w:val="22"/>
          <w:lang w:eastAsia="ja-JP"/>
        </w:rPr>
        <w:t xml:space="preserve">SMTC </w:t>
      </w:r>
      <w:r>
        <w:rPr>
          <w:rFonts w:eastAsiaTheme="minorEastAsia" w:hint="eastAsia"/>
          <w:b/>
          <w:sz w:val="22"/>
          <w:szCs w:val="22"/>
          <w:lang w:eastAsia="ja-JP"/>
        </w:rPr>
        <w:t xml:space="preserve">periodicities, CSF should be derived based on </w:t>
      </w:r>
      <w:r w:rsidR="00AB5F6D">
        <w:rPr>
          <w:rFonts w:eastAsiaTheme="minorEastAsia" w:hint="eastAsia"/>
          <w:b/>
          <w:sz w:val="22"/>
          <w:szCs w:val="22"/>
          <w:lang w:eastAsia="ja-JP"/>
        </w:rPr>
        <w:t>SMTC configurations on measured carriers to optimize MG utilization efficiency.</w:t>
      </w:r>
    </w:p>
    <w:p w14:paraId="5B3E0D95" w14:textId="36C878AC" w:rsidR="00B570FD" w:rsidRDefault="00BA33B4" w:rsidP="00D1267D">
      <w:pPr>
        <w:spacing w:after="240"/>
        <w:jc w:val="both"/>
        <w:rPr>
          <w:rFonts w:eastAsiaTheme="minorEastAsia"/>
          <w:sz w:val="22"/>
          <w:szCs w:val="22"/>
          <w:lang w:eastAsia="ja-JP"/>
        </w:rPr>
      </w:pPr>
      <w:r>
        <w:rPr>
          <w:rFonts w:eastAsiaTheme="minorEastAsia" w:hint="eastAsia"/>
          <w:sz w:val="22"/>
          <w:szCs w:val="22"/>
          <w:lang w:eastAsia="ja-JP"/>
        </w:rPr>
        <w:t xml:space="preserve">When it comes to the case where three or more SMTC periodicities would be configured, we need to more carefully consider complexity on specification and UE implementation. </w:t>
      </w:r>
      <w:r w:rsidR="00AF566C">
        <w:rPr>
          <w:rFonts w:eastAsiaTheme="minorEastAsia" w:hint="eastAsia"/>
          <w:sz w:val="22"/>
          <w:szCs w:val="22"/>
          <w:lang w:eastAsia="ja-JP"/>
        </w:rPr>
        <w:t xml:space="preserve">At the last RAN4 meeting, some companies proposed that </w:t>
      </w:r>
      <w:r w:rsidR="00C57FB2">
        <w:rPr>
          <w:rFonts w:eastAsiaTheme="minorEastAsia" w:hint="eastAsia"/>
          <w:sz w:val="22"/>
          <w:szCs w:val="22"/>
          <w:lang w:eastAsia="ja-JP"/>
        </w:rPr>
        <w:t xml:space="preserve">scaling factor for only limited scenarios should be derived based on SMTC configurations and unified scaling factor assuming the worst case, e.g. </w:t>
      </w:r>
      <w:r w:rsidR="00C57FB2">
        <w:rPr>
          <w:rFonts w:eastAsiaTheme="minorEastAsia"/>
          <w:sz w:val="22"/>
          <w:szCs w:val="22"/>
          <w:lang w:eastAsia="ja-JP"/>
        </w:rPr>
        <w:t>multiplying</w:t>
      </w:r>
      <w:r w:rsidR="00C57FB2">
        <w:rPr>
          <w:rFonts w:eastAsiaTheme="minorEastAsia" w:hint="eastAsia"/>
          <w:sz w:val="22"/>
          <w:szCs w:val="22"/>
          <w:lang w:eastAsia="ja-JP"/>
        </w:rPr>
        <w:t xml:space="preserve"> number of carriers, should be applied for the other cases.</w:t>
      </w:r>
      <w:r w:rsidR="007B7B05">
        <w:rPr>
          <w:rFonts w:eastAsiaTheme="minorEastAsia" w:hint="eastAsia"/>
          <w:sz w:val="22"/>
          <w:szCs w:val="22"/>
          <w:lang w:eastAsia="ja-JP"/>
        </w:rPr>
        <w:t xml:space="preserve"> </w:t>
      </w:r>
      <w:r>
        <w:rPr>
          <w:rFonts w:eastAsiaTheme="minorEastAsia" w:hint="eastAsia"/>
          <w:sz w:val="22"/>
          <w:szCs w:val="22"/>
          <w:lang w:eastAsia="ja-JP"/>
        </w:rPr>
        <w:t xml:space="preserve">Indeed, complexity on specification and UE </w:t>
      </w:r>
      <w:r>
        <w:rPr>
          <w:rFonts w:eastAsiaTheme="minorEastAsia"/>
          <w:sz w:val="22"/>
          <w:szCs w:val="22"/>
          <w:lang w:eastAsia="ja-JP"/>
        </w:rPr>
        <w:t>implantation</w:t>
      </w:r>
      <w:r>
        <w:rPr>
          <w:rFonts w:eastAsiaTheme="minorEastAsia" w:hint="eastAsia"/>
          <w:sz w:val="22"/>
          <w:szCs w:val="22"/>
          <w:lang w:eastAsia="ja-JP"/>
        </w:rPr>
        <w:t xml:space="preserve"> </w:t>
      </w:r>
      <w:r w:rsidR="007B7B05">
        <w:rPr>
          <w:rFonts w:eastAsiaTheme="minorEastAsia" w:hint="eastAsia"/>
          <w:sz w:val="22"/>
          <w:szCs w:val="22"/>
          <w:lang w:eastAsia="ja-JP"/>
        </w:rPr>
        <w:t>would significantly increase when there would be more than two SMTC periodicities</w:t>
      </w:r>
      <w:r>
        <w:rPr>
          <w:rFonts w:eastAsiaTheme="minorEastAsia" w:hint="eastAsia"/>
          <w:sz w:val="22"/>
          <w:szCs w:val="22"/>
          <w:lang w:eastAsia="ja-JP"/>
        </w:rPr>
        <w:t>, but</w:t>
      </w:r>
      <w:r w:rsidR="00B14E8C">
        <w:rPr>
          <w:rFonts w:eastAsiaTheme="minorEastAsia" w:hint="eastAsia"/>
          <w:sz w:val="22"/>
          <w:szCs w:val="22"/>
          <w:lang w:eastAsia="ja-JP"/>
        </w:rPr>
        <w:t xml:space="preserve"> it would cause degradation of </w:t>
      </w:r>
      <w:r>
        <w:rPr>
          <w:rFonts w:eastAsiaTheme="minorEastAsia" w:hint="eastAsia"/>
          <w:sz w:val="22"/>
          <w:szCs w:val="22"/>
          <w:lang w:eastAsia="ja-JP"/>
        </w:rPr>
        <w:t>m</w:t>
      </w:r>
      <w:r w:rsidR="00B14E8C">
        <w:rPr>
          <w:rFonts w:eastAsiaTheme="minorEastAsia" w:hint="eastAsia"/>
          <w:sz w:val="22"/>
          <w:szCs w:val="22"/>
          <w:lang w:eastAsia="ja-JP"/>
        </w:rPr>
        <w:t>obility</w:t>
      </w:r>
      <w:r>
        <w:rPr>
          <w:rFonts w:eastAsiaTheme="minorEastAsia" w:hint="eastAsia"/>
          <w:sz w:val="22"/>
          <w:szCs w:val="22"/>
          <w:lang w:eastAsia="ja-JP"/>
        </w:rPr>
        <w:t xml:space="preserve"> performance to ignore SMTC configurations </w:t>
      </w:r>
      <w:r w:rsidR="007B7B05">
        <w:rPr>
          <w:rFonts w:eastAsiaTheme="minorEastAsia" w:hint="eastAsia"/>
          <w:sz w:val="22"/>
          <w:szCs w:val="22"/>
          <w:lang w:eastAsia="ja-JP"/>
        </w:rPr>
        <w:t>even for the carriers with shorter SMTC periodicity</w:t>
      </w:r>
      <w:r>
        <w:rPr>
          <w:rFonts w:eastAsiaTheme="minorEastAsia" w:hint="eastAsia"/>
          <w:sz w:val="22"/>
          <w:szCs w:val="22"/>
          <w:lang w:eastAsia="ja-JP"/>
        </w:rPr>
        <w:t>.</w:t>
      </w:r>
      <w:r w:rsidR="007B7B05">
        <w:rPr>
          <w:rFonts w:eastAsiaTheme="minorEastAsia" w:hint="eastAsia"/>
          <w:sz w:val="22"/>
          <w:szCs w:val="22"/>
          <w:lang w:eastAsia="ja-JP"/>
        </w:rPr>
        <w:t xml:space="preserve"> In general, NW could set shorter SMTC periodicity to make measurement opportunity more frequent from mobility performance perspective, while longer SMTC periodicity could be utilized in more </w:t>
      </w:r>
      <w:r w:rsidR="007B7B05" w:rsidRPr="00573BA9">
        <w:rPr>
          <w:rFonts w:eastAsiaTheme="minorEastAsia"/>
          <w:sz w:val="22"/>
          <w:szCs w:val="22"/>
          <w:lang w:eastAsia="ja-JP"/>
        </w:rPr>
        <w:t>sustainable</w:t>
      </w:r>
      <w:r w:rsidR="007B7B05">
        <w:rPr>
          <w:rFonts w:eastAsiaTheme="minorEastAsia" w:hint="eastAsia"/>
          <w:sz w:val="22"/>
          <w:szCs w:val="22"/>
          <w:lang w:eastAsia="ja-JP"/>
        </w:rPr>
        <w:t xml:space="preserve"> channel condition. Thus, efficiency on MG utilization would be more important for measurement with shorter SMTC periodicity.</w:t>
      </w:r>
      <w:r w:rsidR="00175676">
        <w:rPr>
          <w:rFonts w:eastAsiaTheme="minorEastAsia" w:hint="eastAsia"/>
          <w:sz w:val="22"/>
          <w:szCs w:val="22"/>
          <w:lang w:eastAsia="ja-JP"/>
        </w:rPr>
        <w:t xml:space="preserve"> In </w:t>
      </w:r>
      <w:r w:rsidR="00175676">
        <w:rPr>
          <w:rFonts w:eastAsiaTheme="minorEastAsia"/>
          <w:sz w:val="22"/>
          <w:szCs w:val="22"/>
          <w:lang w:eastAsia="ja-JP"/>
        </w:rPr>
        <w:t>addition</w:t>
      </w:r>
      <w:r w:rsidR="00175676">
        <w:rPr>
          <w:rFonts w:eastAsiaTheme="minorEastAsia" w:hint="eastAsia"/>
          <w:sz w:val="22"/>
          <w:szCs w:val="22"/>
          <w:lang w:eastAsia="ja-JP"/>
        </w:rPr>
        <w:t xml:space="preserve">, applying same scaling factor for </w:t>
      </w:r>
      <w:r w:rsidR="007F06A7">
        <w:rPr>
          <w:rFonts w:eastAsiaTheme="minorEastAsia" w:hint="eastAsia"/>
          <w:sz w:val="22"/>
          <w:szCs w:val="22"/>
          <w:lang w:eastAsia="ja-JP"/>
        </w:rPr>
        <w:t>all carries with different SMTC periodicities might mean quite wasteful measurement gap opportunity for carriers with shorter SMTC periodicity</w:t>
      </w:r>
      <w:r w:rsidR="00CB3926">
        <w:rPr>
          <w:rFonts w:eastAsiaTheme="minorEastAsia" w:hint="eastAsia"/>
          <w:sz w:val="22"/>
          <w:szCs w:val="22"/>
          <w:lang w:eastAsia="ja-JP"/>
        </w:rPr>
        <w:t xml:space="preserve">, e.g. </w:t>
      </w:r>
      <w:r w:rsidR="00A60826">
        <w:rPr>
          <w:rFonts w:eastAsiaTheme="minorEastAsia" w:hint="eastAsia"/>
          <w:sz w:val="22"/>
          <w:szCs w:val="22"/>
          <w:lang w:eastAsia="ja-JP"/>
        </w:rPr>
        <w:t xml:space="preserve">CC#1 or </w:t>
      </w:r>
      <w:r w:rsidR="00CB3926">
        <w:rPr>
          <w:rFonts w:eastAsiaTheme="minorEastAsia" w:hint="eastAsia"/>
          <w:sz w:val="22"/>
          <w:szCs w:val="22"/>
          <w:lang w:eastAsia="ja-JP"/>
        </w:rPr>
        <w:t>2 in Figure 2,</w:t>
      </w:r>
      <w:r w:rsidR="00A60826">
        <w:rPr>
          <w:rFonts w:eastAsiaTheme="minorEastAsia" w:hint="eastAsia"/>
          <w:sz w:val="22"/>
          <w:szCs w:val="22"/>
          <w:lang w:eastAsia="ja-JP"/>
        </w:rPr>
        <w:t xml:space="preserve"> due to sparse measurement opportunity for longer one, e.g. CC#3 or 4</w:t>
      </w:r>
      <w:r w:rsidR="00340981">
        <w:rPr>
          <w:rFonts w:eastAsiaTheme="minorEastAsia" w:hint="eastAsia"/>
          <w:sz w:val="22"/>
          <w:szCs w:val="22"/>
          <w:lang w:eastAsia="ja-JP"/>
        </w:rPr>
        <w:t xml:space="preserve"> in Figure 2</w:t>
      </w:r>
      <w:r w:rsidR="00A60826">
        <w:rPr>
          <w:rFonts w:eastAsiaTheme="minorEastAsia" w:hint="eastAsia"/>
          <w:sz w:val="22"/>
          <w:szCs w:val="22"/>
          <w:lang w:eastAsia="ja-JP"/>
        </w:rPr>
        <w:t>.</w:t>
      </w:r>
    </w:p>
    <w:p w14:paraId="3D227CD6" w14:textId="48EF29CF" w:rsidR="00092269" w:rsidRPr="00092269" w:rsidRDefault="00092269" w:rsidP="00D1267D">
      <w:pPr>
        <w:spacing w:after="240"/>
        <w:jc w:val="both"/>
        <w:rPr>
          <w:rFonts w:eastAsiaTheme="minorEastAsia"/>
          <w:b/>
          <w:sz w:val="22"/>
          <w:szCs w:val="22"/>
          <w:lang w:eastAsia="ja-JP"/>
        </w:rPr>
      </w:pPr>
      <w:r w:rsidRPr="00092269">
        <w:rPr>
          <w:rFonts w:eastAsiaTheme="minorEastAsia" w:hint="eastAsia"/>
          <w:b/>
          <w:sz w:val="22"/>
          <w:szCs w:val="22"/>
          <w:u w:val="single"/>
          <w:lang w:eastAsia="ja-JP"/>
        </w:rPr>
        <w:t>Observation 3</w:t>
      </w:r>
      <w:r w:rsidRPr="00092269">
        <w:rPr>
          <w:rFonts w:eastAsiaTheme="minorEastAsia" w:hint="eastAsia"/>
          <w:b/>
          <w:sz w:val="22"/>
          <w:szCs w:val="22"/>
          <w:lang w:eastAsia="ja-JP"/>
        </w:rPr>
        <w:t xml:space="preserve">: </w:t>
      </w:r>
      <w:r w:rsidR="00C22480">
        <w:rPr>
          <w:rFonts w:eastAsiaTheme="minorEastAsia" w:hint="eastAsia"/>
          <w:b/>
          <w:sz w:val="22"/>
          <w:szCs w:val="22"/>
          <w:lang w:eastAsia="ja-JP"/>
        </w:rPr>
        <w:t xml:space="preserve">When there would be three or more SMTC periodicities, </w:t>
      </w:r>
      <w:r w:rsidR="00B93A45">
        <w:rPr>
          <w:rFonts w:eastAsiaTheme="minorEastAsia" w:hint="eastAsia"/>
          <w:b/>
          <w:sz w:val="22"/>
          <w:szCs w:val="22"/>
          <w:lang w:eastAsia="ja-JP"/>
        </w:rPr>
        <w:t>it should be avoided to define too loose delay requirements even for carriers with shorter SMTC periodicity.</w:t>
      </w:r>
    </w:p>
    <w:p w14:paraId="426B5A95" w14:textId="77777777" w:rsidR="00340981" w:rsidRDefault="00175676" w:rsidP="00340981">
      <w:pPr>
        <w:keepNext/>
        <w:spacing w:after="240"/>
        <w:jc w:val="both"/>
      </w:pPr>
      <w:r>
        <w:rPr>
          <w:rFonts w:eastAsiaTheme="minorEastAsia"/>
          <w:noProof/>
          <w:sz w:val="22"/>
          <w:szCs w:val="22"/>
          <w:lang w:val="en-US" w:eastAsia="ja-JP"/>
        </w:rPr>
        <w:lastRenderedPageBreak/>
        <w:drawing>
          <wp:inline distT="0" distB="0" distL="0" distR="0" wp14:anchorId="4CF19D78" wp14:editId="1CB4C68F">
            <wp:extent cx="6487064" cy="1767553"/>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93414" cy="1769283"/>
                    </a:xfrm>
                    <a:prstGeom prst="rect">
                      <a:avLst/>
                    </a:prstGeom>
                    <a:noFill/>
                    <a:ln>
                      <a:noFill/>
                    </a:ln>
                  </pic:spPr>
                </pic:pic>
              </a:graphicData>
            </a:graphic>
          </wp:inline>
        </w:drawing>
      </w:r>
    </w:p>
    <w:p w14:paraId="64DBEEC0" w14:textId="6D4F03DB" w:rsidR="00175676" w:rsidRPr="00B570FD" w:rsidRDefault="00340981" w:rsidP="00340981">
      <w:pPr>
        <w:pStyle w:val="a7"/>
        <w:jc w:val="both"/>
        <w:rPr>
          <w:rFonts w:eastAsiaTheme="minorEastAsia"/>
          <w:sz w:val="22"/>
          <w:szCs w:val="22"/>
          <w:lang w:eastAsia="ja-JP"/>
        </w:rPr>
      </w:pPr>
      <w:r>
        <w:t xml:space="preserve">Figure </w:t>
      </w:r>
      <w:r>
        <w:fldChar w:fldCharType="begin"/>
      </w:r>
      <w:r>
        <w:instrText xml:space="preserve"> SEQ Figure \* ARABIC </w:instrText>
      </w:r>
      <w:r>
        <w:fldChar w:fldCharType="separate"/>
      </w:r>
      <w:r w:rsidR="00967887">
        <w:rPr>
          <w:noProof/>
        </w:rPr>
        <w:t>2</w:t>
      </w:r>
      <w:r>
        <w:fldChar w:fldCharType="end"/>
      </w:r>
      <w:r>
        <w:rPr>
          <w:rFonts w:eastAsiaTheme="minorEastAsia" w:hint="eastAsia"/>
          <w:lang w:eastAsia="ja-JP"/>
        </w:rPr>
        <w:t>: Example for the case where there would be four carriers which have different SMTC periodicities</w:t>
      </w:r>
    </w:p>
    <w:p w14:paraId="25AEC347" w14:textId="1EC0C34E" w:rsidR="00B26424" w:rsidRDefault="009C579C" w:rsidP="00106DBC">
      <w:pPr>
        <w:spacing w:before="240" w:after="240"/>
        <w:jc w:val="both"/>
        <w:rPr>
          <w:rFonts w:eastAsiaTheme="minorEastAsia"/>
          <w:sz w:val="22"/>
          <w:szCs w:val="22"/>
          <w:lang w:eastAsia="ja-JP"/>
        </w:rPr>
      </w:pPr>
      <w:r>
        <w:rPr>
          <w:rFonts w:eastAsiaTheme="minorEastAsia" w:hint="eastAsia"/>
          <w:sz w:val="22"/>
          <w:szCs w:val="22"/>
          <w:lang w:eastAsia="ja-JP"/>
        </w:rPr>
        <w:t xml:space="preserve">One way to solve this issue would be </w:t>
      </w:r>
      <w:r w:rsidR="00445A0F">
        <w:rPr>
          <w:rFonts w:eastAsiaTheme="minorEastAsia" w:hint="eastAsia"/>
          <w:sz w:val="22"/>
          <w:szCs w:val="22"/>
          <w:lang w:eastAsia="ja-JP"/>
        </w:rPr>
        <w:t>separately deriving CSF for carriers with shorter SMTC periodicity and those with longer STMC periodic</w:t>
      </w:r>
      <w:r w:rsidR="00713851">
        <w:rPr>
          <w:rFonts w:eastAsiaTheme="minorEastAsia" w:hint="eastAsia"/>
          <w:sz w:val="22"/>
          <w:szCs w:val="22"/>
          <w:lang w:eastAsia="ja-JP"/>
        </w:rPr>
        <w:t>ity</w:t>
      </w:r>
      <w:r w:rsidR="00445A0F">
        <w:rPr>
          <w:rFonts w:eastAsiaTheme="minorEastAsia" w:hint="eastAsia"/>
          <w:sz w:val="22"/>
          <w:szCs w:val="22"/>
          <w:lang w:eastAsia="ja-JP"/>
        </w:rPr>
        <w:t>.</w:t>
      </w:r>
      <w:r w:rsidR="004079F5">
        <w:rPr>
          <w:rFonts w:eastAsiaTheme="minorEastAsia" w:hint="eastAsia"/>
          <w:sz w:val="22"/>
          <w:szCs w:val="22"/>
          <w:lang w:eastAsia="ja-JP"/>
        </w:rPr>
        <w:t xml:space="preserve"> Figure 3 shows an example for CSF calculated based on different way for carrier group with shorter SMTC periodicity and one with longer SMTC periodicity.</w:t>
      </w:r>
      <w:r w:rsidR="00FA27B8">
        <w:rPr>
          <w:rFonts w:eastAsiaTheme="minorEastAsia" w:hint="eastAsia"/>
          <w:sz w:val="22"/>
          <w:szCs w:val="22"/>
          <w:lang w:eastAsia="ja-JP"/>
        </w:rPr>
        <w:t xml:space="preserve"> As mentioned above, </w:t>
      </w:r>
      <w:r w:rsidR="00CB59CA">
        <w:rPr>
          <w:rFonts w:eastAsiaTheme="minorEastAsia" w:hint="eastAsia"/>
          <w:sz w:val="22"/>
          <w:szCs w:val="22"/>
          <w:lang w:eastAsia="ja-JP"/>
        </w:rPr>
        <w:t xml:space="preserve">CSF </w:t>
      </w:r>
      <w:r w:rsidR="00FA27B8">
        <w:rPr>
          <w:rFonts w:eastAsiaTheme="minorEastAsia" w:hint="eastAsia"/>
          <w:sz w:val="22"/>
          <w:szCs w:val="22"/>
          <w:lang w:eastAsia="ja-JP"/>
        </w:rPr>
        <w:t>at least</w:t>
      </w:r>
      <w:r w:rsidR="00CB59CA">
        <w:rPr>
          <w:rFonts w:eastAsiaTheme="minorEastAsia" w:hint="eastAsia"/>
          <w:sz w:val="22"/>
          <w:szCs w:val="22"/>
          <w:lang w:eastAsia="ja-JP"/>
        </w:rPr>
        <w:t xml:space="preserve"> for</w:t>
      </w:r>
      <w:r w:rsidR="00FA27B8">
        <w:rPr>
          <w:rFonts w:eastAsiaTheme="minorEastAsia" w:hint="eastAsia"/>
          <w:sz w:val="22"/>
          <w:szCs w:val="22"/>
          <w:lang w:eastAsia="ja-JP"/>
        </w:rPr>
        <w:t xml:space="preserve"> </w:t>
      </w:r>
      <w:r w:rsidR="00CB59CA">
        <w:rPr>
          <w:rFonts w:eastAsiaTheme="minorEastAsia" w:hint="eastAsia"/>
          <w:sz w:val="22"/>
          <w:szCs w:val="22"/>
          <w:lang w:eastAsia="ja-JP"/>
        </w:rPr>
        <w:t xml:space="preserve">carriers </w:t>
      </w:r>
      <w:r w:rsidR="00CB59CA">
        <w:rPr>
          <w:rFonts w:eastAsiaTheme="minorEastAsia"/>
          <w:sz w:val="22"/>
          <w:szCs w:val="22"/>
          <w:lang w:eastAsia="ja-JP"/>
        </w:rPr>
        <w:t>with</w:t>
      </w:r>
      <w:r w:rsidR="00CB59CA">
        <w:rPr>
          <w:rFonts w:eastAsiaTheme="minorEastAsia" w:hint="eastAsia"/>
          <w:sz w:val="22"/>
          <w:szCs w:val="22"/>
          <w:lang w:eastAsia="ja-JP"/>
        </w:rPr>
        <w:t xml:space="preserve"> </w:t>
      </w:r>
      <w:r w:rsidR="00FA27B8">
        <w:rPr>
          <w:rFonts w:eastAsiaTheme="minorEastAsia" w:hint="eastAsia"/>
          <w:sz w:val="22"/>
          <w:szCs w:val="22"/>
          <w:lang w:eastAsia="ja-JP"/>
        </w:rPr>
        <w:t xml:space="preserve">two </w:t>
      </w:r>
      <w:r w:rsidR="00CB59CA">
        <w:rPr>
          <w:rFonts w:eastAsiaTheme="minorEastAsia" w:hint="eastAsia"/>
          <w:sz w:val="22"/>
          <w:szCs w:val="22"/>
          <w:lang w:eastAsia="ja-JP"/>
        </w:rPr>
        <w:t xml:space="preserve">shorter SMTC periodicities should be derived with considering SMTC configurations as </w:t>
      </w:r>
      <w:r w:rsidR="00BF1665">
        <w:rPr>
          <w:rFonts w:eastAsiaTheme="minorEastAsia" w:hint="eastAsia"/>
          <w:sz w:val="22"/>
          <w:szCs w:val="22"/>
          <w:lang w:eastAsia="ja-JP"/>
        </w:rPr>
        <w:t>shown</w:t>
      </w:r>
      <w:r w:rsidR="00CB59CA">
        <w:rPr>
          <w:rFonts w:eastAsiaTheme="minorEastAsia" w:hint="eastAsia"/>
          <w:sz w:val="22"/>
          <w:szCs w:val="22"/>
          <w:lang w:eastAsia="ja-JP"/>
        </w:rPr>
        <w:t xml:space="preserve"> in Figure 3, e.g. K</w:t>
      </w:r>
      <w:r w:rsidR="00CB59CA" w:rsidRPr="00CB59CA">
        <w:rPr>
          <w:rFonts w:eastAsiaTheme="minorEastAsia" w:hint="eastAsia"/>
          <w:sz w:val="22"/>
          <w:szCs w:val="22"/>
          <w:vertAlign w:val="subscript"/>
          <w:lang w:eastAsia="ja-JP"/>
        </w:rPr>
        <w:t>inter#1</w:t>
      </w:r>
      <w:r w:rsidR="00CB59CA">
        <w:rPr>
          <w:rFonts w:eastAsiaTheme="minorEastAsia" w:hint="eastAsia"/>
          <w:sz w:val="22"/>
          <w:szCs w:val="22"/>
          <w:lang w:eastAsia="ja-JP"/>
        </w:rPr>
        <w:t xml:space="preserve"> in Figure 3.</w:t>
      </w:r>
      <w:r w:rsidR="001E1DF9">
        <w:rPr>
          <w:rFonts w:eastAsiaTheme="minorEastAsia" w:hint="eastAsia"/>
          <w:sz w:val="22"/>
          <w:szCs w:val="22"/>
          <w:lang w:eastAsia="ja-JP"/>
        </w:rPr>
        <w:t xml:space="preserve"> Note that this scaling factor, e.g. K</w:t>
      </w:r>
      <w:r w:rsidR="001E1DF9" w:rsidRPr="00CB59CA">
        <w:rPr>
          <w:rFonts w:eastAsiaTheme="minorEastAsia" w:hint="eastAsia"/>
          <w:sz w:val="22"/>
          <w:szCs w:val="22"/>
          <w:vertAlign w:val="subscript"/>
          <w:lang w:eastAsia="ja-JP"/>
        </w:rPr>
        <w:t>inter#1</w:t>
      </w:r>
      <w:r w:rsidR="001E1DF9">
        <w:rPr>
          <w:rFonts w:eastAsiaTheme="minorEastAsia" w:hint="eastAsia"/>
          <w:sz w:val="22"/>
          <w:szCs w:val="22"/>
          <w:lang w:eastAsia="ja-JP"/>
        </w:rPr>
        <w:t xml:space="preserve">, would be same as that for the case of Figure 1 since the scaling factor is </w:t>
      </w:r>
      <w:r w:rsidR="001E1DF9">
        <w:rPr>
          <w:rFonts w:eastAsiaTheme="minorEastAsia"/>
          <w:sz w:val="22"/>
          <w:szCs w:val="22"/>
          <w:lang w:eastAsia="ja-JP"/>
        </w:rPr>
        <w:t>calculated</w:t>
      </w:r>
      <w:r w:rsidR="001E1DF9">
        <w:rPr>
          <w:rFonts w:eastAsiaTheme="minorEastAsia" w:hint="eastAsia"/>
          <w:sz w:val="22"/>
          <w:szCs w:val="22"/>
          <w:lang w:eastAsia="ja-JP"/>
        </w:rPr>
        <w:t xml:space="preserve"> only based on SMTC configurations on CC#1 and CC#2 without considering existence of CC#3 and CC#4.</w:t>
      </w:r>
      <w:r w:rsidR="00A15A72">
        <w:rPr>
          <w:rFonts w:eastAsiaTheme="minorEastAsia" w:hint="eastAsia"/>
          <w:sz w:val="22"/>
          <w:szCs w:val="22"/>
          <w:lang w:eastAsia="ja-JP"/>
        </w:rPr>
        <w:t xml:space="preserve"> In order to take measurement for CC#3 and CC#4 into account, </w:t>
      </w:r>
      <w:r w:rsidR="00AC0F1A">
        <w:rPr>
          <w:rFonts w:eastAsiaTheme="minorEastAsia" w:hint="eastAsia"/>
          <w:sz w:val="22"/>
          <w:szCs w:val="22"/>
          <w:lang w:eastAsia="ja-JP"/>
        </w:rPr>
        <w:t xml:space="preserve">proportion of measurement opportunity for CC#1 and CC#2 respective to total measurement opportunity including CC#3 and CC#4 could be introduced. </w:t>
      </w:r>
      <w:r w:rsidR="00B26424">
        <w:rPr>
          <w:rFonts w:eastAsiaTheme="minorEastAsia" w:hint="eastAsia"/>
          <w:sz w:val="22"/>
          <w:szCs w:val="22"/>
          <w:lang w:eastAsia="ja-JP"/>
        </w:rPr>
        <w:t>Measurement opportunity for CC#1 and CC#2 would be punctured at most one MG occasion by SMTC periodicity #3</w:t>
      </w:r>
      <w:r w:rsidR="00BF1665">
        <w:rPr>
          <w:rFonts w:eastAsiaTheme="minorEastAsia" w:hint="eastAsia"/>
          <w:sz w:val="22"/>
          <w:szCs w:val="22"/>
          <w:lang w:eastAsia="ja-JP"/>
        </w:rPr>
        <w:t xml:space="preserve"> (This is the </w:t>
      </w:r>
      <w:r w:rsidR="00BF1665">
        <w:rPr>
          <w:rFonts w:eastAsiaTheme="minorEastAsia"/>
          <w:sz w:val="22"/>
          <w:szCs w:val="22"/>
          <w:lang w:eastAsia="ja-JP"/>
        </w:rPr>
        <w:t>third</w:t>
      </w:r>
      <w:r w:rsidR="00BF1665">
        <w:rPr>
          <w:rFonts w:eastAsiaTheme="minorEastAsia" w:hint="eastAsia"/>
          <w:sz w:val="22"/>
          <w:szCs w:val="22"/>
          <w:lang w:eastAsia="ja-JP"/>
        </w:rPr>
        <w:t xml:space="preserve"> shortest SMTC periodicity)</w:t>
      </w:r>
      <w:r w:rsidR="00B26424">
        <w:rPr>
          <w:rFonts w:eastAsiaTheme="minorEastAsia" w:hint="eastAsia"/>
          <w:sz w:val="22"/>
          <w:szCs w:val="22"/>
          <w:lang w:eastAsia="ja-JP"/>
        </w:rPr>
        <w:t>.</w:t>
      </w:r>
      <w:r w:rsidR="00344198">
        <w:rPr>
          <w:rFonts w:eastAsiaTheme="minorEastAsia" w:hint="eastAsia"/>
          <w:sz w:val="22"/>
          <w:szCs w:val="22"/>
          <w:lang w:eastAsia="ja-JP"/>
        </w:rPr>
        <w:t xml:space="preserve"> Therefore, </w:t>
      </w:r>
      <w:r w:rsidR="00344198">
        <w:rPr>
          <w:rFonts w:eastAsiaTheme="minorEastAsia"/>
          <w:sz w:val="22"/>
          <w:szCs w:val="22"/>
          <w:lang w:eastAsia="ja-JP"/>
        </w:rPr>
        <w:t>proportion</w:t>
      </w:r>
      <w:r w:rsidR="00344198">
        <w:rPr>
          <w:rFonts w:eastAsiaTheme="minorEastAsia" w:hint="eastAsia"/>
          <w:sz w:val="22"/>
          <w:szCs w:val="22"/>
          <w:lang w:eastAsia="ja-JP"/>
        </w:rPr>
        <w:t xml:space="preserve"> of measurement opportunity for CC#1 and CC#2, P</w:t>
      </w:r>
      <w:r w:rsidR="00344198" w:rsidRPr="00344198">
        <w:rPr>
          <w:rFonts w:eastAsiaTheme="minorEastAsia" w:hint="eastAsia"/>
          <w:sz w:val="22"/>
          <w:szCs w:val="22"/>
          <w:vertAlign w:val="subscript"/>
          <w:lang w:eastAsia="ja-JP"/>
        </w:rPr>
        <w:t>inter</w:t>
      </w:r>
      <w:r w:rsidR="00344198">
        <w:rPr>
          <w:rFonts w:eastAsiaTheme="minorEastAsia" w:hint="eastAsia"/>
          <w:sz w:val="22"/>
          <w:szCs w:val="22"/>
          <w:lang w:eastAsia="ja-JP"/>
        </w:rPr>
        <w:t>, could be derived as P</w:t>
      </w:r>
      <w:r w:rsidR="00344198" w:rsidRPr="00344198">
        <w:rPr>
          <w:rFonts w:eastAsiaTheme="minorEastAsia" w:hint="eastAsia"/>
          <w:sz w:val="22"/>
          <w:szCs w:val="22"/>
          <w:vertAlign w:val="subscript"/>
          <w:lang w:eastAsia="ja-JP"/>
        </w:rPr>
        <w:t xml:space="preserve">inter </w:t>
      </w:r>
      <w:r w:rsidR="00344198">
        <w:rPr>
          <w:rFonts w:eastAsiaTheme="minorEastAsia" w:hint="eastAsia"/>
          <w:sz w:val="22"/>
          <w:szCs w:val="22"/>
          <w:lang w:eastAsia="ja-JP"/>
        </w:rPr>
        <w:t xml:space="preserve">= 1/(1 </w:t>
      </w:r>
      <w:r w:rsidR="00344198">
        <w:rPr>
          <w:rFonts w:eastAsiaTheme="minorEastAsia"/>
          <w:sz w:val="22"/>
          <w:szCs w:val="22"/>
          <w:lang w:eastAsia="ja-JP"/>
        </w:rPr>
        <w:t>–</w:t>
      </w:r>
      <w:r w:rsidR="00344198">
        <w:rPr>
          <w:rFonts w:eastAsiaTheme="minorEastAsia" w:hint="eastAsia"/>
          <w:sz w:val="22"/>
          <w:szCs w:val="22"/>
          <w:lang w:eastAsia="ja-JP"/>
        </w:rPr>
        <w:t xml:space="preserve"> MGRP/SMTC periodicity#3).</w:t>
      </w:r>
      <w:r w:rsidR="00AD20F8">
        <w:rPr>
          <w:rFonts w:eastAsiaTheme="minorEastAsia" w:hint="eastAsia"/>
          <w:sz w:val="22"/>
          <w:szCs w:val="22"/>
          <w:lang w:eastAsia="ja-JP"/>
        </w:rPr>
        <w:t xml:space="preserve"> For CC#3 and CC#4, CSF could be more simplified as total number of measured carriers</w:t>
      </w:r>
      <w:r w:rsidR="00C7422C">
        <w:rPr>
          <w:rFonts w:eastAsiaTheme="minorEastAsia" w:hint="eastAsia"/>
          <w:sz w:val="22"/>
          <w:szCs w:val="22"/>
          <w:lang w:eastAsia="ja-JP"/>
        </w:rPr>
        <w:t>.</w:t>
      </w:r>
      <w:r w:rsidR="00AD20F8">
        <w:rPr>
          <w:rFonts w:eastAsiaTheme="minorEastAsia" w:hint="eastAsia"/>
          <w:sz w:val="22"/>
          <w:szCs w:val="22"/>
          <w:lang w:eastAsia="ja-JP"/>
        </w:rPr>
        <w:t xml:space="preserve"> </w:t>
      </w:r>
      <w:r w:rsidR="00C7422C">
        <w:rPr>
          <w:rFonts w:eastAsiaTheme="minorEastAsia" w:hint="eastAsia"/>
          <w:sz w:val="22"/>
          <w:szCs w:val="22"/>
          <w:lang w:eastAsia="ja-JP"/>
        </w:rPr>
        <w:t>Al</w:t>
      </w:r>
      <w:r w:rsidR="00AD20F8">
        <w:rPr>
          <w:rFonts w:eastAsiaTheme="minorEastAsia" w:hint="eastAsia"/>
          <w:sz w:val="22"/>
          <w:szCs w:val="22"/>
          <w:lang w:eastAsia="ja-JP"/>
        </w:rPr>
        <w:t xml:space="preserve">though requirement </w:t>
      </w:r>
      <w:r w:rsidR="00C7422C">
        <w:rPr>
          <w:rFonts w:eastAsiaTheme="minorEastAsia" w:hint="eastAsia"/>
          <w:sz w:val="22"/>
          <w:szCs w:val="22"/>
          <w:lang w:eastAsia="ja-JP"/>
        </w:rPr>
        <w:t xml:space="preserve">for CC#3 and CC#4 </w:t>
      </w:r>
      <w:r w:rsidR="00AD20F8">
        <w:rPr>
          <w:rFonts w:eastAsiaTheme="minorEastAsia" w:hint="eastAsia"/>
          <w:sz w:val="22"/>
          <w:szCs w:val="22"/>
          <w:lang w:eastAsia="ja-JP"/>
        </w:rPr>
        <w:t>would be loosened some</w:t>
      </w:r>
      <w:r w:rsidR="00BF1665">
        <w:rPr>
          <w:rFonts w:eastAsiaTheme="minorEastAsia" w:hint="eastAsia"/>
          <w:sz w:val="22"/>
          <w:szCs w:val="22"/>
          <w:lang w:eastAsia="ja-JP"/>
        </w:rPr>
        <w:t>what</w:t>
      </w:r>
      <w:r w:rsidR="00C7422C">
        <w:rPr>
          <w:rFonts w:eastAsiaTheme="minorEastAsia" w:hint="eastAsia"/>
          <w:sz w:val="22"/>
          <w:szCs w:val="22"/>
          <w:lang w:eastAsia="ja-JP"/>
        </w:rPr>
        <w:t xml:space="preserve">, </w:t>
      </w:r>
      <w:r w:rsidR="002556E4">
        <w:rPr>
          <w:rFonts w:eastAsiaTheme="minorEastAsia" w:hint="eastAsia"/>
          <w:sz w:val="22"/>
          <w:szCs w:val="22"/>
          <w:lang w:eastAsia="ja-JP"/>
        </w:rPr>
        <w:t>this way could make specification and UE behaviour simple</w:t>
      </w:r>
      <w:r w:rsidR="00FB207C">
        <w:rPr>
          <w:rFonts w:eastAsiaTheme="minorEastAsia" w:hint="eastAsia"/>
          <w:sz w:val="22"/>
          <w:szCs w:val="22"/>
          <w:lang w:eastAsia="ja-JP"/>
        </w:rPr>
        <w:t xml:space="preserve">r. Moreover, impact on requirement for CC#3 and CC#4 would be limited since SMTC periodicity for CC#3 and CC#4 could be just 80 </w:t>
      </w:r>
      <w:proofErr w:type="spellStart"/>
      <w:r w:rsidR="00FB207C">
        <w:rPr>
          <w:rFonts w:eastAsiaTheme="minorEastAsia" w:hint="eastAsia"/>
          <w:sz w:val="22"/>
          <w:szCs w:val="22"/>
          <w:lang w:eastAsia="ja-JP"/>
        </w:rPr>
        <w:t>ms</w:t>
      </w:r>
      <w:proofErr w:type="spellEnd"/>
      <w:r w:rsidR="00FB207C">
        <w:rPr>
          <w:rFonts w:eastAsiaTheme="minorEastAsia" w:hint="eastAsia"/>
          <w:sz w:val="22"/>
          <w:szCs w:val="22"/>
          <w:lang w:eastAsia="ja-JP"/>
        </w:rPr>
        <w:t xml:space="preserve"> or 160 </w:t>
      </w:r>
      <w:proofErr w:type="spellStart"/>
      <w:r w:rsidR="00FB207C">
        <w:rPr>
          <w:rFonts w:eastAsiaTheme="minorEastAsia" w:hint="eastAsia"/>
          <w:sz w:val="22"/>
          <w:szCs w:val="22"/>
          <w:lang w:eastAsia="ja-JP"/>
        </w:rPr>
        <w:t>ms</w:t>
      </w:r>
      <w:proofErr w:type="spellEnd"/>
      <w:r w:rsidR="00FB207C">
        <w:rPr>
          <w:rFonts w:eastAsiaTheme="minorEastAsia" w:hint="eastAsia"/>
          <w:sz w:val="22"/>
          <w:szCs w:val="22"/>
          <w:lang w:eastAsia="ja-JP"/>
        </w:rPr>
        <w:t xml:space="preserve">. </w:t>
      </w:r>
    </w:p>
    <w:p w14:paraId="2EE0C795" w14:textId="027EC95B" w:rsidR="00967887" w:rsidRDefault="00AA488E" w:rsidP="00967887">
      <w:pPr>
        <w:keepNext/>
        <w:spacing w:before="240" w:after="240"/>
        <w:jc w:val="both"/>
      </w:pPr>
      <w:r>
        <w:rPr>
          <w:noProof/>
          <w:lang w:val="en-US" w:eastAsia="ja-JP"/>
        </w:rPr>
        <w:drawing>
          <wp:inline distT="0" distB="0" distL="0" distR="0" wp14:anchorId="69966AAB" wp14:editId="51CAD30F">
            <wp:extent cx="6399565" cy="3571336"/>
            <wp:effectExtent l="0" t="0" r="127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99599" cy="3571355"/>
                    </a:xfrm>
                    <a:prstGeom prst="rect">
                      <a:avLst/>
                    </a:prstGeom>
                    <a:noFill/>
                    <a:ln>
                      <a:noFill/>
                    </a:ln>
                  </pic:spPr>
                </pic:pic>
              </a:graphicData>
            </a:graphic>
          </wp:inline>
        </w:drawing>
      </w:r>
    </w:p>
    <w:p w14:paraId="00476F5A" w14:textId="00083890" w:rsidR="002F1F6F" w:rsidRPr="00CB59CA" w:rsidRDefault="00967887" w:rsidP="00967887">
      <w:pPr>
        <w:pStyle w:val="a7"/>
        <w:jc w:val="both"/>
        <w:rPr>
          <w:rFonts w:eastAsiaTheme="minorEastAsia"/>
          <w:sz w:val="22"/>
          <w:szCs w:val="22"/>
          <w:lang w:eastAsia="ja-JP"/>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ja-JP"/>
        </w:rPr>
        <w:t xml:space="preserve">: </w:t>
      </w:r>
      <w:r w:rsidRPr="00721895">
        <w:rPr>
          <w:rFonts w:eastAsiaTheme="minorEastAsia"/>
          <w:lang w:eastAsia="ja-JP"/>
        </w:rPr>
        <w:t xml:space="preserve">Example </w:t>
      </w:r>
      <w:r>
        <w:rPr>
          <w:rFonts w:eastAsiaTheme="minorEastAsia" w:hint="eastAsia"/>
          <w:lang w:eastAsia="ja-JP"/>
        </w:rPr>
        <w:t>of CSF calculation in</w:t>
      </w:r>
      <w:r w:rsidRPr="00721895">
        <w:rPr>
          <w:rFonts w:eastAsiaTheme="minorEastAsia"/>
          <w:lang w:eastAsia="ja-JP"/>
        </w:rPr>
        <w:t xml:space="preserve"> case where there would be four carriers which have different SMTC periodicities</w:t>
      </w:r>
    </w:p>
    <w:p w14:paraId="269933DB" w14:textId="1B7879FD" w:rsidR="002F1F6F" w:rsidRDefault="00850CD6" w:rsidP="00106DBC">
      <w:pPr>
        <w:spacing w:before="240" w:after="240"/>
        <w:jc w:val="both"/>
        <w:rPr>
          <w:rFonts w:eastAsiaTheme="minorEastAsia"/>
          <w:sz w:val="22"/>
          <w:szCs w:val="22"/>
          <w:lang w:eastAsia="ja-JP"/>
        </w:rPr>
      </w:pPr>
      <w:r>
        <w:rPr>
          <w:rFonts w:eastAsiaTheme="minorEastAsia" w:hint="eastAsia"/>
          <w:sz w:val="22"/>
          <w:szCs w:val="22"/>
          <w:lang w:eastAsia="ja-JP"/>
        </w:rPr>
        <w:lastRenderedPageBreak/>
        <w:t xml:space="preserve">Here, </w:t>
      </w:r>
      <w:r w:rsidR="002F1F6F">
        <w:rPr>
          <w:rFonts w:eastAsiaTheme="minorEastAsia" w:hint="eastAsia"/>
          <w:sz w:val="22"/>
          <w:szCs w:val="22"/>
          <w:lang w:eastAsia="ja-JP"/>
        </w:rPr>
        <w:t xml:space="preserve">above observations could be </w:t>
      </w:r>
      <w:r>
        <w:rPr>
          <w:rFonts w:eastAsiaTheme="minorEastAsia" w:hint="eastAsia"/>
          <w:sz w:val="22"/>
          <w:szCs w:val="22"/>
          <w:lang w:eastAsia="ja-JP"/>
        </w:rPr>
        <w:t>realized based on Option 1 and Option 2</w:t>
      </w:r>
      <w:r w:rsidR="002F1F6F">
        <w:rPr>
          <w:rFonts w:eastAsiaTheme="minorEastAsia" w:hint="eastAsia"/>
          <w:sz w:val="22"/>
          <w:szCs w:val="22"/>
          <w:lang w:eastAsia="ja-JP"/>
        </w:rPr>
        <w:t xml:space="preserve">, </w:t>
      </w:r>
      <w:r>
        <w:rPr>
          <w:rFonts w:eastAsiaTheme="minorEastAsia" w:hint="eastAsia"/>
          <w:sz w:val="22"/>
          <w:szCs w:val="22"/>
          <w:lang w:eastAsia="ja-JP"/>
        </w:rPr>
        <w:t>so</w:t>
      </w:r>
      <w:r w:rsidR="002F1F6F">
        <w:rPr>
          <w:rFonts w:eastAsiaTheme="minorEastAsia" w:hint="eastAsia"/>
          <w:sz w:val="22"/>
          <w:szCs w:val="22"/>
          <w:lang w:eastAsia="ja-JP"/>
        </w:rPr>
        <w:t xml:space="preserve"> </w:t>
      </w:r>
      <w:r w:rsidR="0008003A">
        <w:rPr>
          <w:rFonts w:eastAsiaTheme="minorEastAsia" w:hint="eastAsia"/>
          <w:sz w:val="22"/>
          <w:szCs w:val="22"/>
          <w:lang w:eastAsia="ja-JP"/>
        </w:rPr>
        <w:t>these options could be still applicable</w:t>
      </w:r>
      <w:r w:rsidR="002F1F6F">
        <w:rPr>
          <w:rFonts w:eastAsiaTheme="minorEastAsia" w:hint="eastAsia"/>
          <w:sz w:val="22"/>
          <w:szCs w:val="22"/>
          <w:lang w:eastAsia="ja-JP"/>
        </w:rPr>
        <w:t>.</w:t>
      </w:r>
      <w:r w:rsidR="0008003A">
        <w:rPr>
          <w:rFonts w:eastAsiaTheme="minorEastAsia" w:hint="eastAsia"/>
          <w:sz w:val="22"/>
          <w:szCs w:val="22"/>
          <w:lang w:eastAsia="ja-JP"/>
        </w:rPr>
        <w:t xml:space="preserve"> In addition to Option 1 and Option 2, CSF derived with different way according to group classified by SMTC periodicity could be another option from above discussion.</w:t>
      </w:r>
    </w:p>
    <w:p w14:paraId="312CC9E5" w14:textId="4110EE87" w:rsidR="00963D6A" w:rsidRPr="00092269" w:rsidRDefault="00963D6A" w:rsidP="00963D6A">
      <w:pPr>
        <w:spacing w:after="240"/>
        <w:jc w:val="both"/>
        <w:rPr>
          <w:rFonts w:eastAsiaTheme="minorEastAsia"/>
          <w:b/>
          <w:sz w:val="22"/>
          <w:szCs w:val="22"/>
          <w:lang w:eastAsia="ja-JP"/>
        </w:rPr>
      </w:pPr>
      <w:r w:rsidRPr="00092269">
        <w:rPr>
          <w:rFonts w:eastAsiaTheme="minorEastAsia" w:hint="eastAsia"/>
          <w:b/>
          <w:sz w:val="22"/>
          <w:szCs w:val="22"/>
          <w:u w:val="single"/>
          <w:lang w:eastAsia="ja-JP"/>
        </w:rPr>
        <w:t xml:space="preserve">Observation </w:t>
      </w:r>
      <w:r>
        <w:rPr>
          <w:rFonts w:eastAsiaTheme="minorEastAsia" w:hint="eastAsia"/>
          <w:b/>
          <w:sz w:val="22"/>
          <w:szCs w:val="22"/>
          <w:u w:val="single"/>
          <w:lang w:eastAsia="ja-JP"/>
        </w:rPr>
        <w:t>4</w:t>
      </w:r>
      <w:r w:rsidRPr="00092269">
        <w:rPr>
          <w:rFonts w:eastAsiaTheme="minorEastAsia" w:hint="eastAsia"/>
          <w:b/>
          <w:sz w:val="22"/>
          <w:szCs w:val="22"/>
          <w:lang w:eastAsia="ja-JP"/>
        </w:rPr>
        <w:t xml:space="preserve">: </w:t>
      </w:r>
      <w:r w:rsidR="00FC45EF">
        <w:rPr>
          <w:rFonts w:eastAsiaTheme="minorEastAsia" w:hint="eastAsia"/>
          <w:b/>
          <w:sz w:val="22"/>
          <w:szCs w:val="22"/>
          <w:lang w:eastAsia="ja-JP"/>
        </w:rPr>
        <w:t>It could be considered as another option to apply different CSF definition for carrier group with two shorter SMTC periodicities and the other carriers</w:t>
      </w:r>
      <w:r>
        <w:rPr>
          <w:rFonts w:eastAsiaTheme="minorEastAsia" w:hint="eastAsia"/>
          <w:b/>
          <w:sz w:val="22"/>
          <w:szCs w:val="22"/>
          <w:lang w:eastAsia="ja-JP"/>
        </w:rPr>
        <w:t>.</w:t>
      </w:r>
    </w:p>
    <w:p w14:paraId="0D899959" w14:textId="5BA5DA4A" w:rsidR="00C07401" w:rsidRDefault="00946529" w:rsidP="00946529">
      <w:pPr>
        <w:spacing w:after="240"/>
        <w:jc w:val="both"/>
        <w:rPr>
          <w:rFonts w:eastAsiaTheme="minorEastAsia"/>
          <w:b/>
          <w:sz w:val="22"/>
          <w:lang w:val="en-US" w:eastAsia="ja-JP"/>
        </w:rPr>
      </w:pPr>
      <w:r w:rsidRPr="006959A9">
        <w:rPr>
          <w:rFonts w:eastAsiaTheme="minorEastAsia"/>
          <w:b/>
          <w:sz w:val="22"/>
          <w:u w:val="single"/>
          <w:lang w:val="en-US" w:eastAsia="ja-JP"/>
        </w:rPr>
        <w:t xml:space="preserve">Proposal </w:t>
      </w:r>
      <w:r>
        <w:rPr>
          <w:rFonts w:eastAsiaTheme="minorEastAsia" w:hint="eastAsia"/>
          <w:b/>
          <w:sz w:val="22"/>
          <w:u w:val="single"/>
          <w:lang w:val="en-US" w:eastAsia="ja-JP"/>
        </w:rPr>
        <w:t>3</w:t>
      </w:r>
      <w:r w:rsidRPr="006959A9">
        <w:rPr>
          <w:rFonts w:eastAsiaTheme="minorEastAsia"/>
          <w:b/>
          <w:sz w:val="22"/>
          <w:lang w:val="en-US" w:eastAsia="ja-JP"/>
        </w:rPr>
        <w:t xml:space="preserve">: </w:t>
      </w:r>
      <w:r w:rsidR="00C07401">
        <w:rPr>
          <w:rFonts w:eastAsiaTheme="minorEastAsia" w:hint="eastAsia"/>
          <w:b/>
          <w:sz w:val="22"/>
          <w:lang w:val="en-US" w:eastAsia="ja-JP"/>
        </w:rPr>
        <w:t xml:space="preserve">Definition of CSF should be down selected from </w:t>
      </w:r>
      <w:r w:rsidR="00C07401">
        <w:rPr>
          <w:rFonts w:eastAsiaTheme="minorEastAsia"/>
          <w:b/>
          <w:sz w:val="22"/>
          <w:lang w:val="en-US" w:eastAsia="ja-JP"/>
        </w:rPr>
        <w:t>following</w:t>
      </w:r>
      <w:r w:rsidR="00C07401">
        <w:rPr>
          <w:rFonts w:eastAsiaTheme="minorEastAsia" w:hint="eastAsia"/>
          <w:b/>
          <w:sz w:val="22"/>
          <w:lang w:val="en-US" w:eastAsia="ja-JP"/>
        </w:rPr>
        <w:t xml:space="preserve"> options.</w:t>
      </w:r>
    </w:p>
    <w:p w14:paraId="442BB404" w14:textId="54FF576A" w:rsidR="00C07401" w:rsidRPr="00C07401" w:rsidRDefault="00C07401" w:rsidP="00AA488E">
      <w:pPr>
        <w:pStyle w:val="a3"/>
        <w:numPr>
          <w:ilvl w:val="0"/>
          <w:numId w:val="37"/>
        </w:numPr>
        <w:ind w:leftChars="0"/>
        <w:jc w:val="both"/>
        <w:rPr>
          <w:rFonts w:eastAsiaTheme="minorEastAsia"/>
          <w:b/>
          <w:sz w:val="22"/>
          <w:lang w:val="en-US" w:eastAsia="ja-JP"/>
        </w:rPr>
      </w:pPr>
      <w:r w:rsidRPr="00C07401">
        <w:rPr>
          <w:rFonts w:eastAsiaTheme="minorEastAsia" w:hint="eastAsia"/>
          <w:b/>
          <w:sz w:val="22"/>
          <w:lang w:val="en-US" w:eastAsia="ja-JP"/>
        </w:rPr>
        <w:t>Option 1:</w:t>
      </w:r>
      <w:r w:rsidRPr="00C07401">
        <w:rPr>
          <w:rFonts w:eastAsiaTheme="minorEastAsia" w:hint="eastAsia"/>
          <w:b/>
          <w:sz w:val="22"/>
          <w:szCs w:val="22"/>
          <w:lang w:val="en-US" w:eastAsia="ja-JP"/>
        </w:rPr>
        <w:t xml:space="preserve"> </w:t>
      </w:r>
      <w:r w:rsidR="00AA488E" w:rsidRPr="00AA488E">
        <w:rPr>
          <w:rFonts w:eastAsiaTheme="minorEastAsia"/>
          <w:b/>
          <w:sz w:val="22"/>
          <w:szCs w:val="22"/>
          <w:lang w:val="en-US" w:eastAsia="ja-JP"/>
        </w:rPr>
        <w:t xml:space="preserve">Scaling factor based on averaged MG occasions utilized for measurement to optimize MG utilization efficiency. </w:t>
      </w:r>
      <w:r w:rsidRPr="00C07401">
        <w:rPr>
          <w:rFonts w:eastAsiaTheme="minorEastAsia" w:hint="eastAsia"/>
          <w:b/>
          <w:sz w:val="22"/>
          <w:szCs w:val="22"/>
          <w:lang w:val="en-US" w:eastAsia="ja-JP"/>
        </w:rPr>
        <w:t xml:space="preserve"> (e.g. Alt. 3 in [</w:t>
      </w:r>
      <w:r w:rsidR="005350CB">
        <w:rPr>
          <w:rFonts w:eastAsiaTheme="minorEastAsia" w:hint="eastAsia"/>
          <w:b/>
          <w:sz w:val="22"/>
          <w:szCs w:val="22"/>
          <w:lang w:val="en-US" w:eastAsia="ja-JP"/>
        </w:rPr>
        <w:t>2</w:t>
      </w:r>
      <w:r w:rsidRPr="00C07401">
        <w:rPr>
          <w:rFonts w:eastAsiaTheme="minorEastAsia" w:hint="eastAsia"/>
          <w:b/>
          <w:sz w:val="22"/>
          <w:szCs w:val="22"/>
          <w:lang w:val="en-US" w:eastAsia="ja-JP"/>
        </w:rPr>
        <w:t>])</w:t>
      </w:r>
    </w:p>
    <w:p w14:paraId="54C41931" w14:textId="0E58CEA5" w:rsidR="00C07401" w:rsidRPr="00C07401" w:rsidRDefault="00C07401" w:rsidP="00042807">
      <w:pPr>
        <w:pStyle w:val="a3"/>
        <w:numPr>
          <w:ilvl w:val="0"/>
          <w:numId w:val="37"/>
        </w:numPr>
        <w:ind w:leftChars="0"/>
        <w:jc w:val="both"/>
        <w:rPr>
          <w:rFonts w:eastAsiaTheme="minorEastAsia"/>
          <w:b/>
          <w:sz w:val="22"/>
          <w:szCs w:val="22"/>
          <w:lang w:val="en-US" w:eastAsia="ja-JP"/>
        </w:rPr>
      </w:pPr>
      <w:r w:rsidRPr="00C07401">
        <w:rPr>
          <w:rFonts w:eastAsiaTheme="minorEastAsia" w:hint="eastAsia"/>
          <w:b/>
          <w:sz w:val="22"/>
          <w:szCs w:val="22"/>
          <w:lang w:val="en-US" w:eastAsia="ja-JP"/>
        </w:rPr>
        <w:t xml:space="preserve">Option 2: Scaling </w:t>
      </w:r>
      <w:r w:rsidRPr="00C07401">
        <w:rPr>
          <w:rFonts w:eastAsiaTheme="minorEastAsia"/>
          <w:b/>
          <w:sz w:val="22"/>
          <w:szCs w:val="22"/>
          <w:lang w:val="en-US" w:eastAsia="ja-JP"/>
        </w:rPr>
        <w:t>factor</w:t>
      </w:r>
      <w:r w:rsidRPr="00C07401">
        <w:rPr>
          <w:rFonts w:eastAsiaTheme="minorEastAsia" w:hint="eastAsia"/>
          <w:b/>
          <w:sz w:val="22"/>
          <w:szCs w:val="22"/>
          <w:lang w:val="en-US" w:eastAsia="ja-JP"/>
        </w:rPr>
        <w:t xml:space="preserve"> based on maximum number of </w:t>
      </w:r>
      <w:r w:rsidRPr="00C07401">
        <w:rPr>
          <w:rFonts w:eastAsiaTheme="minorEastAsia"/>
          <w:b/>
          <w:sz w:val="22"/>
          <w:szCs w:val="22"/>
          <w:lang w:eastAsia="ja-JP"/>
        </w:rPr>
        <w:t xml:space="preserve">measured carriers on a MG occasion within </w:t>
      </w:r>
      <w:r w:rsidRPr="00C07401">
        <w:rPr>
          <w:rFonts w:eastAsiaTheme="minorEastAsia" w:hint="eastAsia"/>
          <w:b/>
          <w:sz w:val="22"/>
          <w:szCs w:val="22"/>
          <w:lang w:eastAsia="ja-JP"/>
        </w:rPr>
        <w:t>GURP</w:t>
      </w:r>
      <w:r w:rsidRPr="00C07401">
        <w:rPr>
          <w:rFonts w:eastAsiaTheme="minorEastAsia" w:hint="eastAsia"/>
          <w:b/>
          <w:sz w:val="22"/>
          <w:szCs w:val="22"/>
          <w:lang w:val="en-US" w:eastAsia="ja-JP"/>
        </w:rPr>
        <w:t xml:space="preserve">. (e.g. </w:t>
      </w:r>
      <w:r w:rsidR="00042807">
        <w:rPr>
          <w:rFonts w:eastAsiaTheme="minorEastAsia" w:hint="eastAsia"/>
          <w:b/>
          <w:sz w:val="22"/>
          <w:szCs w:val="22"/>
          <w:lang w:val="en-US" w:eastAsia="ja-JP"/>
        </w:rPr>
        <w:t>CSF in [</w:t>
      </w:r>
      <w:r w:rsidR="005350CB">
        <w:rPr>
          <w:rFonts w:eastAsiaTheme="minorEastAsia" w:hint="eastAsia"/>
          <w:b/>
          <w:sz w:val="22"/>
          <w:szCs w:val="22"/>
          <w:lang w:val="en-US" w:eastAsia="ja-JP"/>
        </w:rPr>
        <w:t>3</w:t>
      </w:r>
      <w:r w:rsidR="00042807">
        <w:rPr>
          <w:rFonts w:eastAsiaTheme="minorEastAsia" w:hint="eastAsia"/>
          <w:b/>
          <w:sz w:val="22"/>
          <w:szCs w:val="22"/>
          <w:lang w:val="en-US" w:eastAsia="ja-JP"/>
        </w:rPr>
        <w:t>]</w:t>
      </w:r>
      <w:r w:rsidRPr="00C07401">
        <w:rPr>
          <w:rFonts w:eastAsiaTheme="minorEastAsia" w:hint="eastAsia"/>
          <w:b/>
          <w:sz w:val="22"/>
          <w:szCs w:val="22"/>
          <w:lang w:val="en-US" w:eastAsia="ja-JP"/>
        </w:rPr>
        <w:t>)</w:t>
      </w:r>
    </w:p>
    <w:p w14:paraId="402728E9" w14:textId="103B0271" w:rsidR="00C07401" w:rsidRDefault="00C07401" w:rsidP="00C70C11">
      <w:pPr>
        <w:pStyle w:val="a3"/>
        <w:numPr>
          <w:ilvl w:val="0"/>
          <w:numId w:val="37"/>
        </w:numPr>
        <w:ind w:leftChars="0"/>
        <w:jc w:val="both"/>
        <w:rPr>
          <w:rFonts w:eastAsiaTheme="minorEastAsia"/>
          <w:b/>
          <w:sz w:val="22"/>
          <w:lang w:val="en-US" w:eastAsia="ja-JP"/>
        </w:rPr>
      </w:pPr>
      <w:r>
        <w:rPr>
          <w:rFonts w:eastAsiaTheme="minorEastAsia" w:hint="eastAsia"/>
          <w:b/>
          <w:sz w:val="22"/>
          <w:lang w:val="en-US" w:eastAsia="ja-JP"/>
        </w:rPr>
        <w:t>Option 3:</w:t>
      </w:r>
      <w:r w:rsidR="00CB03D8">
        <w:rPr>
          <w:rFonts w:eastAsiaTheme="minorEastAsia" w:hint="eastAsia"/>
          <w:b/>
          <w:sz w:val="22"/>
          <w:lang w:val="en-US" w:eastAsia="ja-JP"/>
        </w:rPr>
        <w:t xml:space="preserve"> </w:t>
      </w:r>
      <w:r w:rsidR="00C70C11">
        <w:rPr>
          <w:rFonts w:eastAsiaTheme="minorEastAsia" w:hint="eastAsia"/>
          <w:b/>
          <w:sz w:val="22"/>
          <w:lang w:val="en-US" w:eastAsia="ja-JP"/>
        </w:rPr>
        <w:t>Scaling factor derived based on following principles.</w:t>
      </w:r>
    </w:p>
    <w:p w14:paraId="14E42A64" w14:textId="0A2F731B" w:rsidR="00C70C11" w:rsidRPr="00EA33BF" w:rsidRDefault="00EA33BF" w:rsidP="00C70C11">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When SMTC window is fully non-overlapped with the other measured carriers, CSF should be 1.</w:t>
      </w:r>
    </w:p>
    <w:p w14:paraId="3F417BFC" w14:textId="0ACCF204" w:rsidR="00EA33BF" w:rsidRPr="00EA33BF" w:rsidRDefault="00EA33BF" w:rsidP="00EA33BF">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When SMTC window is fully overlapped with the other measured carriers, CSF should be equal to number of measured carriers.</w:t>
      </w:r>
    </w:p>
    <w:p w14:paraId="0DFEFCA8" w14:textId="1C83C508" w:rsidR="00EA33BF" w:rsidRDefault="00EA33BF" w:rsidP="00C70C11">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When there would be two SMTC periodicities, CS</w:t>
      </w:r>
      <w:r>
        <w:rPr>
          <w:rFonts w:eastAsiaTheme="minorEastAsia" w:hint="eastAsia"/>
          <w:b/>
          <w:sz w:val="22"/>
          <w:lang w:val="en-US" w:eastAsia="ja-JP"/>
        </w:rPr>
        <w:t xml:space="preserve">F should be derived based on SMTC configurations on </w:t>
      </w:r>
      <w:r>
        <w:rPr>
          <w:rFonts w:eastAsiaTheme="minorEastAsia"/>
          <w:b/>
          <w:sz w:val="22"/>
          <w:lang w:val="en-US" w:eastAsia="ja-JP"/>
        </w:rPr>
        <w:t>measured</w:t>
      </w:r>
      <w:r>
        <w:rPr>
          <w:rFonts w:eastAsiaTheme="minorEastAsia" w:hint="eastAsia"/>
          <w:b/>
          <w:sz w:val="22"/>
          <w:lang w:val="en-US" w:eastAsia="ja-JP"/>
        </w:rPr>
        <w:t xml:space="preserve"> carrier.</w:t>
      </w:r>
    </w:p>
    <w:p w14:paraId="736D27DE" w14:textId="51774D34" w:rsidR="00EA33BF" w:rsidRDefault="00EA33BF" w:rsidP="00EA33BF">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 xml:space="preserve">When there would be three or more SMTC periodicities, it should be avoided to define too loose delay requirements even for carriers with shorter SMTC periodicity, e.g. CSF </w:t>
      </w:r>
      <w:r w:rsidR="00231167">
        <w:rPr>
          <w:rFonts w:eastAsiaTheme="minorEastAsia" w:hint="eastAsia"/>
          <w:b/>
          <w:sz w:val="22"/>
          <w:szCs w:val="22"/>
          <w:lang w:eastAsia="ja-JP"/>
        </w:rPr>
        <w:t xml:space="preserve">is derived based on SMTC configurations at least </w:t>
      </w:r>
      <w:r>
        <w:rPr>
          <w:rFonts w:eastAsiaTheme="minorEastAsia" w:hint="eastAsia"/>
          <w:b/>
          <w:sz w:val="22"/>
          <w:szCs w:val="22"/>
          <w:lang w:eastAsia="ja-JP"/>
        </w:rPr>
        <w:t>for carriers with two shorter SMTC periodicities.</w:t>
      </w:r>
    </w:p>
    <w:p w14:paraId="44933E00" w14:textId="77777777" w:rsidR="00400135" w:rsidRPr="001F4960" w:rsidRDefault="00400135" w:rsidP="00400135">
      <w:pPr>
        <w:keepNext/>
        <w:keepLines/>
        <w:numPr>
          <w:ilvl w:val="0"/>
          <w:numId w:val="1"/>
        </w:numPr>
        <w:pBdr>
          <w:top w:val="single" w:sz="12" w:space="3" w:color="auto"/>
        </w:pBdr>
        <w:spacing w:before="240" w:after="180"/>
        <w:jc w:val="both"/>
        <w:outlineLvl w:val="0"/>
        <w:rPr>
          <w:rFonts w:ascii="Arial" w:eastAsia="ＭＳ 明朝" w:hAnsi="Arial"/>
          <w:sz w:val="32"/>
          <w:lang w:val="en-US" w:eastAsia="ja-JP"/>
        </w:rPr>
      </w:pPr>
      <w:r w:rsidRPr="001F4960">
        <w:rPr>
          <w:rFonts w:ascii="Arial" w:eastAsiaTheme="minorEastAsia" w:hAnsi="Arial"/>
          <w:sz w:val="32"/>
          <w:lang w:val="en-US" w:eastAsia="ja-JP"/>
        </w:rPr>
        <w:t>Conclusion</w:t>
      </w:r>
    </w:p>
    <w:p w14:paraId="7572E892" w14:textId="4F00EC57" w:rsidR="00400135" w:rsidRDefault="00400135" w:rsidP="00B23650">
      <w:pPr>
        <w:spacing w:before="240" w:after="240"/>
        <w:jc w:val="both"/>
        <w:rPr>
          <w:rFonts w:eastAsia="ＭＳ 明朝"/>
          <w:sz w:val="22"/>
          <w:szCs w:val="22"/>
          <w:lang w:val="en-US" w:eastAsia="ja-JP"/>
        </w:rPr>
      </w:pPr>
      <w:r w:rsidRPr="001F4960">
        <w:rPr>
          <w:rFonts w:eastAsia="ＭＳ 明朝"/>
          <w:sz w:val="22"/>
          <w:szCs w:val="22"/>
          <w:lang w:val="en-US" w:eastAsia="ja-JP"/>
        </w:rPr>
        <w:t>In this contribution, we provide</w:t>
      </w:r>
      <w:r w:rsidR="00B662B1" w:rsidRPr="001F4960">
        <w:rPr>
          <w:rFonts w:eastAsia="ＭＳ 明朝"/>
          <w:sz w:val="22"/>
          <w:szCs w:val="22"/>
          <w:lang w:val="en-US" w:eastAsia="ja-JP"/>
        </w:rPr>
        <w:t>d</w:t>
      </w:r>
      <w:r w:rsidRPr="001F4960">
        <w:rPr>
          <w:rFonts w:eastAsia="ＭＳ 明朝"/>
          <w:sz w:val="22"/>
          <w:szCs w:val="22"/>
          <w:lang w:val="en-US" w:eastAsia="ja-JP"/>
        </w:rPr>
        <w:t xml:space="preserve"> our views on </w:t>
      </w:r>
      <w:r w:rsidR="00290998" w:rsidRPr="001F4960">
        <w:rPr>
          <w:rFonts w:eastAsia="ＭＳ 明朝"/>
          <w:sz w:val="22"/>
          <w:szCs w:val="22"/>
          <w:lang w:val="en-US" w:eastAsia="ja-JP"/>
        </w:rPr>
        <w:t xml:space="preserve">remaining issue on </w:t>
      </w:r>
      <w:r w:rsidR="00BE1030" w:rsidRPr="001F4960">
        <w:rPr>
          <w:rFonts w:eastAsia="ＭＳ 明朝"/>
          <w:sz w:val="22"/>
          <w:szCs w:val="22"/>
          <w:lang w:val="en-US" w:eastAsia="ja-JP"/>
        </w:rPr>
        <w:t>requirements of inter-frequency measurement and we made following</w:t>
      </w:r>
      <w:r w:rsidR="00BA648E">
        <w:rPr>
          <w:rFonts w:eastAsia="ＭＳ 明朝" w:hint="eastAsia"/>
          <w:sz w:val="22"/>
          <w:szCs w:val="22"/>
          <w:lang w:val="en-US" w:eastAsia="ja-JP"/>
        </w:rPr>
        <w:t xml:space="preserve"> observations and</w:t>
      </w:r>
      <w:r w:rsidR="00BE1030" w:rsidRPr="001F4960">
        <w:rPr>
          <w:rFonts w:eastAsia="ＭＳ 明朝"/>
          <w:sz w:val="22"/>
          <w:szCs w:val="22"/>
          <w:lang w:val="en-US" w:eastAsia="ja-JP"/>
        </w:rPr>
        <w:t xml:space="preserve"> proposal</w:t>
      </w:r>
      <w:r w:rsidR="00BA648E">
        <w:rPr>
          <w:rFonts w:eastAsia="ＭＳ 明朝" w:hint="eastAsia"/>
          <w:sz w:val="22"/>
          <w:szCs w:val="22"/>
          <w:lang w:val="en-US" w:eastAsia="ja-JP"/>
        </w:rPr>
        <w:t>s</w:t>
      </w:r>
      <w:r w:rsidR="004F757A" w:rsidRPr="001F4960">
        <w:rPr>
          <w:rFonts w:eastAsia="ＭＳ 明朝"/>
          <w:sz w:val="22"/>
          <w:szCs w:val="22"/>
          <w:lang w:val="en-US" w:eastAsia="ja-JP"/>
        </w:rPr>
        <w:t>.</w:t>
      </w:r>
    </w:p>
    <w:p w14:paraId="2030341D" w14:textId="03C826AE" w:rsidR="00BA648E" w:rsidRPr="00BA648E" w:rsidRDefault="00BA648E" w:rsidP="00BA648E">
      <w:pPr>
        <w:spacing w:after="240"/>
        <w:rPr>
          <w:rFonts w:eastAsiaTheme="minorEastAsia"/>
          <w:sz w:val="22"/>
          <w:u w:val="single"/>
          <w:lang w:val="en-US" w:eastAsia="ja-JP"/>
        </w:rPr>
      </w:pPr>
      <w:r w:rsidRPr="00BA648E">
        <w:rPr>
          <w:sz w:val="22"/>
          <w:u w:val="single"/>
          <w:lang w:val="en-US" w:eastAsia="ja-JP"/>
        </w:rPr>
        <w:t>Delay requirement for FR2</w:t>
      </w:r>
    </w:p>
    <w:p w14:paraId="39572C6D" w14:textId="77777777" w:rsidR="00BA648E" w:rsidRPr="006959A9" w:rsidRDefault="00BA648E" w:rsidP="00BA648E">
      <w:pPr>
        <w:spacing w:after="240"/>
        <w:jc w:val="both"/>
        <w:rPr>
          <w:rFonts w:eastAsiaTheme="minorEastAsia"/>
          <w:b/>
          <w:sz w:val="22"/>
          <w:lang w:val="en-US" w:eastAsia="ja-JP"/>
        </w:rPr>
      </w:pPr>
      <w:r w:rsidRPr="006959A9">
        <w:rPr>
          <w:rFonts w:eastAsiaTheme="minorEastAsia"/>
          <w:b/>
          <w:sz w:val="22"/>
          <w:u w:val="single"/>
          <w:lang w:val="en-US" w:eastAsia="ja-JP"/>
        </w:rPr>
        <w:t>Proposal 1</w:t>
      </w:r>
      <w:r w:rsidRPr="006959A9">
        <w:rPr>
          <w:rFonts w:eastAsiaTheme="minorEastAsia"/>
          <w:b/>
          <w:sz w:val="22"/>
          <w:lang w:val="en-US" w:eastAsia="ja-JP"/>
        </w:rPr>
        <w:t>: For FR2, number of samples</w:t>
      </w:r>
      <w:r>
        <w:rPr>
          <w:rFonts w:eastAsiaTheme="minorEastAsia" w:hint="eastAsia"/>
          <w:b/>
          <w:sz w:val="22"/>
          <w:lang w:val="en-US" w:eastAsia="ja-JP"/>
        </w:rPr>
        <w:t xml:space="preserve"> </w:t>
      </w:r>
      <w:r w:rsidRPr="006959A9">
        <w:rPr>
          <w:rFonts w:eastAsiaTheme="minorEastAsia"/>
          <w:b/>
          <w:sz w:val="22"/>
          <w:lang w:val="en-US" w:eastAsia="ja-JP"/>
        </w:rPr>
        <w:t xml:space="preserve">to derive PSS/SSS synchronization and RSRP measurement delay, </w:t>
      </w:r>
      <w:proofErr w:type="spellStart"/>
      <w:r w:rsidRPr="006959A9">
        <w:rPr>
          <w:b/>
        </w:rPr>
        <w:t>M</w:t>
      </w:r>
      <w:r w:rsidRPr="006959A9">
        <w:rPr>
          <w:b/>
          <w:vertAlign w:val="subscript"/>
        </w:rPr>
        <w:t>pss</w:t>
      </w:r>
      <w:proofErr w:type="spellEnd"/>
      <w:r w:rsidRPr="006959A9">
        <w:rPr>
          <w:b/>
          <w:vertAlign w:val="subscript"/>
        </w:rPr>
        <w:t>/</w:t>
      </w:r>
      <w:proofErr w:type="spellStart"/>
      <w:r w:rsidRPr="006959A9">
        <w:rPr>
          <w:b/>
          <w:vertAlign w:val="subscript"/>
        </w:rPr>
        <w:t>sss_sync_inter</w:t>
      </w:r>
      <w:proofErr w:type="spellEnd"/>
      <w:r w:rsidRPr="006959A9">
        <w:rPr>
          <w:b/>
        </w:rPr>
        <w:t xml:space="preserve"> </w:t>
      </w:r>
      <w:r w:rsidRPr="006959A9">
        <w:rPr>
          <w:rFonts w:eastAsiaTheme="minorEastAsia"/>
          <w:b/>
          <w:lang w:eastAsia="ja-JP"/>
        </w:rPr>
        <w:t xml:space="preserve">and </w:t>
      </w:r>
      <w:proofErr w:type="spellStart"/>
      <w:r w:rsidRPr="006959A9">
        <w:rPr>
          <w:b/>
        </w:rPr>
        <w:t>M</w:t>
      </w:r>
      <w:r w:rsidRPr="006959A9">
        <w:rPr>
          <w:b/>
          <w:vertAlign w:val="subscript"/>
        </w:rPr>
        <w:t>meas_period_inter</w:t>
      </w:r>
      <w:proofErr w:type="spellEnd"/>
      <w:r w:rsidRPr="006959A9">
        <w:rPr>
          <w:rFonts w:eastAsiaTheme="minorEastAsia"/>
          <w:b/>
          <w:sz w:val="22"/>
          <w:lang w:val="en-US" w:eastAsia="ja-JP"/>
        </w:rPr>
        <w:t>, should be defined as following</w:t>
      </w:r>
      <w:r>
        <w:rPr>
          <w:rFonts w:eastAsiaTheme="minorEastAsia" w:hint="eastAsia"/>
          <w:b/>
          <w:sz w:val="22"/>
          <w:lang w:val="en-US" w:eastAsia="ja-JP"/>
        </w:rPr>
        <w:t xml:space="preserve"> including AGC margin</w:t>
      </w:r>
      <w:r w:rsidRPr="006959A9">
        <w:rPr>
          <w:rFonts w:eastAsiaTheme="minorEastAsia"/>
          <w:b/>
          <w:sz w:val="22"/>
          <w:lang w:val="en-US" w:eastAsia="ja-JP"/>
        </w:rPr>
        <w:t>.</w:t>
      </w:r>
    </w:p>
    <w:p w14:paraId="605017F4" w14:textId="77777777" w:rsidR="00BA648E" w:rsidRPr="006959A9" w:rsidRDefault="00BA648E" w:rsidP="00BA648E">
      <w:pPr>
        <w:pStyle w:val="a3"/>
        <w:numPr>
          <w:ilvl w:val="0"/>
          <w:numId w:val="34"/>
        </w:numPr>
        <w:ind w:leftChars="0"/>
        <w:rPr>
          <w:rFonts w:eastAsiaTheme="minorEastAsia"/>
          <w:b/>
          <w:lang w:val="en-US" w:eastAsia="ja-JP"/>
        </w:rPr>
      </w:pPr>
      <w:proofErr w:type="spellStart"/>
      <w:r w:rsidRPr="006959A9">
        <w:rPr>
          <w:b/>
        </w:rPr>
        <w:t>M</w:t>
      </w:r>
      <w:r w:rsidRPr="006959A9">
        <w:rPr>
          <w:b/>
          <w:vertAlign w:val="subscript"/>
        </w:rPr>
        <w:t>pss</w:t>
      </w:r>
      <w:proofErr w:type="spellEnd"/>
      <w:r w:rsidRPr="006959A9">
        <w:rPr>
          <w:b/>
          <w:vertAlign w:val="subscript"/>
        </w:rPr>
        <w:t>/</w:t>
      </w:r>
      <w:proofErr w:type="spellStart"/>
      <w:r w:rsidRPr="006959A9">
        <w:rPr>
          <w:b/>
          <w:vertAlign w:val="subscript"/>
        </w:rPr>
        <w:t>sss_sync_inter</w:t>
      </w:r>
      <w:proofErr w:type="spellEnd"/>
      <w:r w:rsidRPr="006959A9">
        <w:rPr>
          <w:b/>
        </w:rPr>
        <w:t xml:space="preserve"> </w:t>
      </w:r>
      <w:r w:rsidRPr="006959A9">
        <w:rPr>
          <w:rFonts w:eastAsiaTheme="minorEastAsia"/>
          <w:b/>
          <w:lang w:eastAsia="ja-JP"/>
        </w:rPr>
        <w:t xml:space="preserve">= </w:t>
      </w:r>
      <w:proofErr w:type="spellStart"/>
      <w:r w:rsidRPr="006959A9">
        <w:rPr>
          <w:b/>
        </w:rPr>
        <w:t>M</w:t>
      </w:r>
      <w:r w:rsidRPr="006959A9">
        <w:rPr>
          <w:b/>
          <w:vertAlign w:val="subscript"/>
        </w:rPr>
        <w:t>meas_period_inter</w:t>
      </w:r>
      <w:proofErr w:type="spellEnd"/>
      <w:r w:rsidRPr="006959A9">
        <w:rPr>
          <w:rFonts w:eastAsiaTheme="minorEastAsia"/>
          <w:b/>
          <w:vertAlign w:val="subscript"/>
          <w:lang w:eastAsia="ja-JP"/>
        </w:rPr>
        <w:t xml:space="preserve"> </w:t>
      </w:r>
      <w:r w:rsidRPr="006959A9">
        <w:rPr>
          <w:rFonts w:eastAsiaTheme="minorEastAsia"/>
          <w:b/>
          <w:lang w:eastAsia="ja-JP"/>
        </w:rPr>
        <w:t xml:space="preserve">= </w:t>
      </w:r>
      <w:r w:rsidRPr="006959A9">
        <w:rPr>
          <w:rFonts w:eastAsiaTheme="minorEastAsia"/>
          <w:b/>
          <w:lang w:eastAsia="ja-JP"/>
        </w:rPr>
        <w:softHyphen/>
      </w:r>
      <w:r w:rsidRPr="006959A9">
        <w:rPr>
          <w:rFonts w:eastAsiaTheme="minorEastAsia"/>
          <w:b/>
          <w:lang w:val="en-US" w:eastAsia="ja-JP"/>
        </w:rPr>
        <w:t>[48] for UE supporting PC1</w:t>
      </w:r>
    </w:p>
    <w:p w14:paraId="7BB3DAFB" w14:textId="77777777" w:rsidR="00BA648E" w:rsidRPr="006959A9" w:rsidRDefault="00BA648E" w:rsidP="00BA648E">
      <w:pPr>
        <w:pStyle w:val="a3"/>
        <w:numPr>
          <w:ilvl w:val="0"/>
          <w:numId w:val="34"/>
        </w:numPr>
        <w:spacing w:after="240"/>
        <w:ind w:leftChars="0"/>
        <w:rPr>
          <w:rFonts w:eastAsiaTheme="minorEastAsia"/>
          <w:b/>
          <w:lang w:val="en-US" w:eastAsia="ja-JP"/>
        </w:rPr>
      </w:pPr>
      <w:proofErr w:type="spellStart"/>
      <w:r w:rsidRPr="006959A9">
        <w:rPr>
          <w:b/>
        </w:rPr>
        <w:t>M</w:t>
      </w:r>
      <w:r w:rsidRPr="006959A9">
        <w:rPr>
          <w:b/>
          <w:vertAlign w:val="subscript"/>
        </w:rPr>
        <w:t>pss</w:t>
      </w:r>
      <w:proofErr w:type="spellEnd"/>
      <w:r w:rsidRPr="006959A9">
        <w:rPr>
          <w:b/>
          <w:vertAlign w:val="subscript"/>
        </w:rPr>
        <w:t>/</w:t>
      </w:r>
      <w:proofErr w:type="spellStart"/>
      <w:r w:rsidRPr="006959A9">
        <w:rPr>
          <w:b/>
          <w:vertAlign w:val="subscript"/>
        </w:rPr>
        <w:t>sss_sync_inter</w:t>
      </w:r>
      <w:proofErr w:type="spellEnd"/>
      <w:r w:rsidRPr="006959A9">
        <w:rPr>
          <w:b/>
        </w:rPr>
        <w:t xml:space="preserve"> </w:t>
      </w:r>
      <w:r w:rsidRPr="006959A9">
        <w:rPr>
          <w:rFonts w:eastAsiaTheme="minorEastAsia"/>
          <w:b/>
          <w:lang w:eastAsia="ja-JP"/>
        </w:rPr>
        <w:t xml:space="preserve">= </w:t>
      </w:r>
      <w:proofErr w:type="spellStart"/>
      <w:r w:rsidRPr="006959A9">
        <w:rPr>
          <w:b/>
        </w:rPr>
        <w:t>M</w:t>
      </w:r>
      <w:r w:rsidRPr="006959A9">
        <w:rPr>
          <w:b/>
          <w:vertAlign w:val="subscript"/>
        </w:rPr>
        <w:t>meas_period_inter</w:t>
      </w:r>
      <w:proofErr w:type="spellEnd"/>
      <w:r w:rsidRPr="006959A9">
        <w:rPr>
          <w:rFonts w:eastAsiaTheme="minorEastAsia"/>
          <w:b/>
          <w:vertAlign w:val="subscript"/>
          <w:lang w:eastAsia="ja-JP"/>
        </w:rPr>
        <w:t xml:space="preserve"> </w:t>
      </w:r>
      <w:r w:rsidRPr="006959A9">
        <w:rPr>
          <w:rFonts w:eastAsiaTheme="minorEastAsia"/>
          <w:b/>
          <w:lang w:eastAsia="ja-JP"/>
        </w:rPr>
        <w:t xml:space="preserve">= </w:t>
      </w:r>
      <w:r>
        <w:rPr>
          <w:rFonts w:eastAsiaTheme="minorEastAsia"/>
          <w:b/>
          <w:lang w:val="en-US" w:eastAsia="ja-JP"/>
        </w:rPr>
        <w:t>[32] for UE supporting PC2</w:t>
      </w:r>
      <w:r>
        <w:rPr>
          <w:rFonts w:eastAsiaTheme="minorEastAsia" w:hint="eastAsia"/>
          <w:b/>
          <w:lang w:val="en-US" w:eastAsia="ja-JP"/>
        </w:rPr>
        <w:t>, 3 and 4</w:t>
      </w:r>
    </w:p>
    <w:p w14:paraId="0A5B6E4E" w14:textId="77777777" w:rsidR="00BA648E" w:rsidRDefault="00BA648E" w:rsidP="00BA648E">
      <w:pPr>
        <w:spacing w:after="240"/>
        <w:jc w:val="both"/>
        <w:rPr>
          <w:rFonts w:eastAsiaTheme="minorEastAsia"/>
          <w:b/>
          <w:sz w:val="22"/>
          <w:lang w:val="en-US" w:eastAsia="ja-JP"/>
        </w:rPr>
      </w:pPr>
      <w:r w:rsidRPr="006959A9">
        <w:rPr>
          <w:rFonts w:eastAsiaTheme="minorEastAsia"/>
          <w:b/>
          <w:sz w:val="22"/>
          <w:u w:val="single"/>
          <w:lang w:val="en-US" w:eastAsia="ja-JP"/>
        </w:rPr>
        <w:t xml:space="preserve">Proposal </w:t>
      </w:r>
      <w:r>
        <w:rPr>
          <w:rFonts w:eastAsiaTheme="minorEastAsia" w:hint="eastAsia"/>
          <w:b/>
          <w:sz w:val="22"/>
          <w:u w:val="single"/>
          <w:lang w:val="en-US" w:eastAsia="ja-JP"/>
        </w:rPr>
        <w:t>2</w:t>
      </w:r>
      <w:r w:rsidRPr="006959A9">
        <w:rPr>
          <w:rFonts w:eastAsiaTheme="minorEastAsia"/>
          <w:b/>
          <w:sz w:val="22"/>
          <w:lang w:val="en-US" w:eastAsia="ja-JP"/>
        </w:rPr>
        <w:t>: For FR2, number of samples</w:t>
      </w:r>
      <w:r w:rsidRPr="000F384E">
        <w:rPr>
          <w:rFonts w:eastAsiaTheme="minorEastAsia"/>
          <w:b/>
          <w:sz w:val="22"/>
          <w:lang w:val="en-US" w:eastAsia="ja-JP"/>
        </w:rPr>
        <w:t xml:space="preserve"> </w:t>
      </w:r>
      <w:r w:rsidRPr="006959A9">
        <w:rPr>
          <w:rFonts w:eastAsiaTheme="minorEastAsia"/>
          <w:b/>
          <w:sz w:val="22"/>
          <w:lang w:val="en-US" w:eastAsia="ja-JP"/>
        </w:rPr>
        <w:t xml:space="preserve">to derive </w:t>
      </w:r>
      <w:r>
        <w:rPr>
          <w:rFonts w:eastAsiaTheme="minorEastAsia" w:hint="eastAsia"/>
          <w:b/>
          <w:sz w:val="22"/>
          <w:lang w:val="en-US" w:eastAsia="ja-JP"/>
        </w:rPr>
        <w:t>SSB time index detection dela</w:t>
      </w:r>
      <w:r w:rsidRPr="000F384E">
        <w:rPr>
          <w:rFonts w:eastAsiaTheme="minorEastAsia" w:hint="eastAsia"/>
          <w:b/>
          <w:sz w:val="22"/>
          <w:lang w:val="en-US" w:eastAsia="ja-JP"/>
        </w:rPr>
        <w:t>y</w:t>
      </w:r>
      <w:r w:rsidRPr="000F384E">
        <w:rPr>
          <w:rFonts w:eastAsiaTheme="minorEastAsia"/>
          <w:b/>
          <w:sz w:val="22"/>
          <w:lang w:val="en-US" w:eastAsia="ja-JP"/>
        </w:rPr>
        <w:t xml:space="preserve">, </w:t>
      </w:r>
      <w:proofErr w:type="spellStart"/>
      <w:r w:rsidRPr="000F384E">
        <w:rPr>
          <w:b/>
        </w:rPr>
        <w:t>M</w:t>
      </w:r>
      <w:r w:rsidRPr="000F384E">
        <w:rPr>
          <w:b/>
          <w:vertAlign w:val="subscript"/>
        </w:rPr>
        <w:t>SSB_index_inter</w:t>
      </w:r>
      <w:proofErr w:type="spellEnd"/>
      <w:r w:rsidRPr="000F384E">
        <w:rPr>
          <w:rFonts w:eastAsiaTheme="minorEastAsia"/>
          <w:b/>
          <w:sz w:val="22"/>
          <w:lang w:val="en-US" w:eastAsia="ja-JP"/>
        </w:rPr>
        <w:t>, should b</w:t>
      </w:r>
      <w:r w:rsidRPr="006959A9">
        <w:rPr>
          <w:rFonts w:eastAsiaTheme="minorEastAsia"/>
          <w:b/>
          <w:sz w:val="22"/>
          <w:lang w:val="en-US" w:eastAsia="ja-JP"/>
        </w:rPr>
        <w:t>e defined as following</w:t>
      </w:r>
      <w:r>
        <w:rPr>
          <w:rFonts w:eastAsiaTheme="minorEastAsia" w:hint="eastAsia"/>
          <w:b/>
          <w:sz w:val="22"/>
          <w:lang w:val="en-US" w:eastAsia="ja-JP"/>
        </w:rPr>
        <w:t xml:space="preserve"> including AGC margin</w:t>
      </w:r>
      <w:r w:rsidRPr="006959A9">
        <w:rPr>
          <w:rFonts w:eastAsiaTheme="minorEastAsia"/>
          <w:b/>
          <w:sz w:val="22"/>
          <w:lang w:val="en-US" w:eastAsia="ja-JP"/>
        </w:rPr>
        <w:t>.</w:t>
      </w:r>
    </w:p>
    <w:p w14:paraId="70A364D3" w14:textId="77777777" w:rsidR="00BA648E" w:rsidRPr="000F384E" w:rsidRDefault="00BA648E" w:rsidP="00BA648E">
      <w:pPr>
        <w:pStyle w:val="a3"/>
        <w:numPr>
          <w:ilvl w:val="0"/>
          <w:numId w:val="35"/>
        </w:numPr>
        <w:spacing w:after="240"/>
        <w:ind w:leftChars="0"/>
        <w:jc w:val="both"/>
        <w:rPr>
          <w:rFonts w:eastAsiaTheme="minorEastAsia"/>
          <w:b/>
          <w:sz w:val="22"/>
          <w:lang w:val="en-US" w:eastAsia="ja-JP"/>
        </w:rPr>
      </w:pPr>
      <w:proofErr w:type="spellStart"/>
      <w:r w:rsidRPr="000F384E">
        <w:rPr>
          <w:b/>
        </w:rPr>
        <w:t>M</w:t>
      </w:r>
      <w:r w:rsidRPr="000F384E">
        <w:rPr>
          <w:b/>
          <w:vertAlign w:val="subscript"/>
        </w:rPr>
        <w:t>SSB_index_inter</w:t>
      </w:r>
      <w:proofErr w:type="spellEnd"/>
      <w:r w:rsidRPr="000F384E">
        <w:rPr>
          <w:b/>
        </w:rPr>
        <w:t xml:space="preserve"> </w:t>
      </w:r>
      <w:r w:rsidRPr="000F384E">
        <w:rPr>
          <w:rFonts w:eastAsiaTheme="minorEastAsia"/>
          <w:b/>
          <w:lang w:eastAsia="ja-JP"/>
        </w:rPr>
        <w:t xml:space="preserve">= </w:t>
      </w:r>
      <w:r w:rsidRPr="000F384E">
        <w:rPr>
          <w:rFonts w:eastAsiaTheme="minorEastAsia"/>
          <w:b/>
          <w:lang w:eastAsia="ja-JP"/>
        </w:rPr>
        <w:softHyphen/>
      </w:r>
      <w:r w:rsidRPr="000F384E">
        <w:rPr>
          <w:rFonts w:eastAsiaTheme="minorEastAsia"/>
          <w:b/>
          <w:lang w:val="en-US" w:eastAsia="ja-JP"/>
        </w:rPr>
        <w:t>[</w:t>
      </w:r>
      <w:r>
        <w:rPr>
          <w:rFonts w:eastAsiaTheme="minorEastAsia"/>
          <w:b/>
          <w:lang w:val="en-US" w:eastAsia="ja-JP"/>
        </w:rPr>
        <w:t xml:space="preserve">8] </w:t>
      </w:r>
      <w:r>
        <w:rPr>
          <w:rFonts w:eastAsiaTheme="minorEastAsia" w:hint="eastAsia"/>
          <w:b/>
          <w:lang w:val="en-US" w:eastAsia="ja-JP"/>
        </w:rPr>
        <w:t>irrespective of UE power class</w:t>
      </w:r>
    </w:p>
    <w:p w14:paraId="44036F30" w14:textId="7AFA4FD1" w:rsidR="00BA648E" w:rsidRPr="00BA648E" w:rsidRDefault="00BA648E" w:rsidP="00BA648E">
      <w:pPr>
        <w:rPr>
          <w:rFonts w:eastAsiaTheme="minorEastAsia"/>
          <w:sz w:val="36"/>
          <w:u w:val="single"/>
          <w:lang w:val="en-US" w:eastAsia="ja-JP"/>
        </w:rPr>
      </w:pPr>
      <w:r w:rsidRPr="00BA648E">
        <w:rPr>
          <w:rFonts w:eastAsiaTheme="minorEastAsia" w:hint="eastAsia"/>
          <w:sz w:val="22"/>
          <w:u w:val="single"/>
          <w:lang w:eastAsia="ja-JP"/>
        </w:rPr>
        <w:t>Carrier Scaling Factor</w:t>
      </w:r>
      <w:r w:rsidR="009B5EAB">
        <w:rPr>
          <w:rFonts w:eastAsiaTheme="minorEastAsia" w:hint="eastAsia"/>
          <w:sz w:val="22"/>
          <w:u w:val="single"/>
          <w:lang w:eastAsia="ja-JP"/>
        </w:rPr>
        <w:t xml:space="preserve"> (CSF)</w:t>
      </w:r>
    </w:p>
    <w:p w14:paraId="22889467" w14:textId="77777777" w:rsidR="00F43A23" w:rsidRDefault="00F43A23" w:rsidP="00F43A23">
      <w:pPr>
        <w:spacing w:before="240" w:after="240"/>
        <w:jc w:val="both"/>
        <w:rPr>
          <w:rFonts w:eastAsiaTheme="minorEastAsia"/>
          <w:b/>
          <w:sz w:val="22"/>
          <w:szCs w:val="22"/>
          <w:lang w:eastAsia="ja-JP"/>
        </w:rPr>
      </w:pPr>
      <w:r w:rsidRPr="00573BA9">
        <w:rPr>
          <w:rFonts w:eastAsiaTheme="minorEastAsia" w:hint="eastAsia"/>
          <w:b/>
          <w:sz w:val="22"/>
          <w:szCs w:val="22"/>
          <w:u w:val="single"/>
          <w:lang w:eastAsia="ja-JP"/>
        </w:rPr>
        <w:t>Observation 1</w:t>
      </w:r>
      <w:r w:rsidRPr="00573BA9">
        <w:rPr>
          <w:rFonts w:eastAsiaTheme="minorEastAsia" w:hint="eastAsia"/>
          <w:b/>
          <w:sz w:val="22"/>
          <w:szCs w:val="22"/>
          <w:lang w:eastAsia="ja-JP"/>
        </w:rPr>
        <w:t>: In case where SMTC window</w:t>
      </w:r>
      <w:r>
        <w:rPr>
          <w:rFonts w:eastAsiaTheme="minorEastAsia" w:hint="eastAsia"/>
          <w:b/>
          <w:sz w:val="22"/>
          <w:szCs w:val="22"/>
          <w:lang w:eastAsia="ja-JP"/>
        </w:rPr>
        <w:t xml:space="preserve"> on a measured carrier</w:t>
      </w:r>
      <w:r w:rsidRPr="00573BA9">
        <w:rPr>
          <w:rFonts w:eastAsiaTheme="minorEastAsia" w:hint="eastAsia"/>
          <w:b/>
          <w:sz w:val="22"/>
          <w:szCs w:val="22"/>
          <w:lang w:eastAsia="ja-JP"/>
        </w:rPr>
        <w:t xml:space="preserve"> is fully non-overlapped or fully overlapped with </w:t>
      </w:r>
      <w:r>
        <w:rPr>
          <w:rFonts w:eastAsiaTheme="minorEastAsia" w:hint="eastAsia"/>
          <w:b/>
          <w:sz w:val="22"/>
          <w:szCs w:val="22"/>
          <w:lang w:eastAsia="ja-JP"/>
        </w:rPr>
        <w:t xml:space="preserve">that on </w:t>
      </w:r>
      <w:r w:rsidRPr="00573BA9">
        <w:rPr>
          <w:rFonts w:eastAsiaTheme="minorEastAsia" w:hint="eastAsia"/>
          <w:b/>
          <w:sz w:val="22"/>
          <w:szCs w:val="22"/>
          <w:lang w:eastAsia="ja-JP"/>
        </w:rPr>
        <w:t xml:space="preserve">the </w:t>
      </w:r>
      <w:r w:rsidRPr="00573BA9">
        <w:rPr>
          <w:rFonts w:eastAsiaTheme="minorEastAsia"/>
          <w:b/>
          <w:sz w:val="22"/>
          <w:szCs w:val="22"/>
          <w:lang w:eastAsia="ja-JP"/>
        </w:rPr>
        <w:t>other</w:t>
      </w:r>
      <w:r w:rsidRPr="00573BA9">
        <w:rPr>
          <w:rFonts w:eastAsiaTheme="minorEastAsia" w:hint="eastAsia"/>
          <w:b/>
          <w:sz w:val="22"/>
          <w:szCs w:val="22"/>
          <w:lang w:eastAsia="ja-JP"/>
        </w:rPr>
        <w:t xml:space="preserve"> carriers, CSF should be </w:t>
      </w:r>
      <w:r>
        <w:rPr>
          <w:rFonts w:eastAsiaTheme="minorEastAsia" w:hint="eastAsia"/>
          <w:b/>
          <w:sz w:val="22"/>
          <w:szCs w:val="22"/>
          <w:lang w:eastAsia="ja-JP"/>
        </w:rPr>
        <w:t xml:space="preserve">defined </w:t>
      </w:r>
      <w:r w:rsidRPr="00573BA9">
        <w:rPr>
          <w:rFonts w:eastAsiaTheme="minorEastAsia" w:hint="eastAsia"/>
          <w:b/>
          <w:sz w:val="22"/>
          <w:szCs w:val="22"/>
          <w:lang w:eastAsia="ja-JP"/>
        </w:rPr>
        <w:t>as following.</w:t>
      </w:r>
    </w:p>
    <w:p w14:paraId="56105F96" w14:textId="77777777" w:rsidR="00BA648E" w:rsidRDefault="00BA648E" w:rsidP="00BA648E">
      <w:pPr>
        <w:pStyle w:val="a3"/>
        <w:numPr>
          <w:ilvl w:val="0"/>
          <w:numId w:val="35"/>
        </w:numPr>
        <w:spacing w:before="240"/>
        <w:ind w:leftChars="0"/>
        <w:jc w:val="both"/>
        <w:rPr>
          <w:rFonts w:eastAsiaTheme="minorEastAsia"/>
          <w:b/>
          <w:sz w:val="22"/>
          <w:szCs w:val="22"/>
          <w:lang w:eastAsia="ja-JP"/>
        </w:rPr>
      </w:pPr>
      <w:r>
        <w:rPr>
          <w:rFonts w:eastAsiaTheme="minorEastAsia" w:hint="eastAsia"/>
          <w:b/>
          <w:sz w:val="22"/>
          <w:szCs w:val="22"/>
          <w:lang w:eastAsia="ja-JP"/>
        </w:rPr>
        <w:t>CSF = 1, when SMTC window is fully non-overlapped with the other measured carriers.</w:t>
      </w:r>
    </w:p>
    <w:p w14:paraId="4D2FD9F4" w14:textId="77777777" w:rsidR="00BA648E" w:rsidRPr="00573BA9" w:rsidRDefault="00BA648E" w:rsidP="00BA648E">
      <w:pPr>
        <w:pStyle w:val="a3"/>
        <w:numPr>
          <w:ilvl w:val="0"/>
          <w:numId w:val="35"/>
        </w:numPr>
        <w:spacing w:after="240"/>
        <w:ind w:leftChars="0"/>
        <w:jc w:val="both"/>
        <w:rPr>
          <w:rFonts w:eastAsiaTheme="minorEastAsia"/>
          <w:b/>
          <w:sz w:val="22"/>
          <w:szCs w:val="22"/>
          <w:lang w:eastAsia="ja-JP"/>
        </w:rPr>
      </w:pPr>
      <w:r>
        <w:rPr>
          <w:rFonts w:eastAsiaTheme="minorEastAsia" w:hint="eastAsia"/>
          <w:b/>
          <w:sz w:val="22"/>
          <w:szCs w:val="22"/>
          <w:lang w:eastAsia="ja-JP"/>
        </w:rPr>
        <w:t>CSF = Number of measured carriers, when SMTC window is fully overlapped with the other measured carriers.</w:t>
      </w:r>
    </w:p>
    <w:p w14:paraId="4B89E06C" w14:textId="77777777" w:rsidR="00BA648E" w:rsidRDefault="00BA648E" w:rsidP="00BA648E">
      <w:pPr>
        <w:spacing w:before="240" w:after="240"/>
        <w:jc w:val="both"/>
        <w:rPr>
          <w:rFonts w:eastAsiaTheme="minorEastAsia"/>
          <w:b/>
          <w:sz w:val="22"/>
          <w:szCs w:val="22"/>
          <w:lang w:eastAsia="ja-JP"/>
        </w:rPr>
      </w:pPr>
      <w:r w:rsidRPr="00BA648E">
        <w:rPr>
          <w:rFonts w:eastAsiaTheme="minorEastAsia" w:hint="eastAsia"/>
          <w:b/>
          <w:sz w:val="22"/>
          <w:szCs w:val="22"/>
          <w:u w:val="single"/>
          <w:lang w:eastAsia="ja-JP"/>
        </w:rPr>
        <w:t>Observation 2</w:t>
      </w:r>
      <w:r w:rsidRPr="00BA648E">
        <w:rPr>
          <w:rFonts w:eastAsiaTheme="minorEastAsia" w:hint="eastAsia"/>
          <w:b/>
          <w:sz w:val="22"/>
          <w:szCs w:val="22"/>
          <w:lang w:eastAsia="ja-JP"/>
        </w:rPr>
        <w:t>: At least in case where measured carriers have two different SMTC periodicities, CSF should be derived based on SMTC configurations on measured carriers to optimize MG utilization efficiency.</w:t>
      </w:r>
    </w:p>
    <w:p w14:paraId="7AFAB0FF" w14:textId="693BC958" w:rsidR="00BA648E" w:rsidRPr="009C3330" w:rsidRDefault="00BA648E" w:rsidP="009C3330">
      <w:pPr>
        <w:spacing w:after="240"/>
        <w:jc w:val="both"/>
        <w:rPr>
          <w:rFonts w:eastAsiaTheme="minorEastAsia"/>
          <w:b/>
          <w:sz w:val="22"/>
          <w:szCs w:val="22"/>
          <w:lang w:eastAsia="ja-JP"/>
        </w:rPr>
      </w:pPr>
      <w:r w:rsidRPr="00092269">
        <w:rPr>
          <w:rFonts w:eastAsiaTheme="minorEastAsia" w:hint="eastAsia"/>
          <w:b/>
          <w:sz w:val="22"/>
          <w:szCs w:val="22"/>
          <w:u w:val="single"/>
          <w:lang w:eastAsia="ja-JP"/>
        </w:rPr>
        <w:t>Observation 3</w:t>
      </w:r>
      <w:r w:rsidRPr="00092269">
        <w:rPr>
          <w:rFonts w:eastAsiaTheme="minorEastAsia" w:hint="eastAsia"/>
          <w:b/>
          <w:sz w:val="22"/>
          <w:szCs w:val="22"/>
          <w:lang w:eastAsia="ja-JP"/>
        </w:rPr>
        <w:t xml:space="preserve">: </w:t>
      </w:r>
      <w:r>
        <w:rPr>
          <w:rFonts w:eastAsiaTheme="minorEastAsia" w:hint="eastAsia"/>
          <w:b/>
          <w:sz w:val="22"/>
          <w:szCs w:val="22"/>
          <w:lang w:eastAsia="ja-JP"/>
        </w:rPr>
        <w:t>When there would be three or more SMTC periodicities, it should be avoided to define too loose delay requirements even for carriers with shorter SMTC periodicity.</w:t>
      </w:r>
    </w:p>
    <w:p w14:paraId="2F4C18A9" w14:textId="77777777" w:rsidR="00BA648E" w:rsidRPr="00092269" w:rsidRDefault="00BA648E" w:rsidP="00BA648E">
      <w:pPr>
        <w:spacing w:after="240"/>
        <w:jc w:val="both"/>
        <w:rPr>
          <w:rFonts w:eastAsiaTheme="minorEastAsia"/>
          <w:b/>
          <w:sz w:val="22"/>
          <w:szCs w:val="22"/>
          <w:lang w:eastAsia="ja-JP"/>
        </w:rPr>
      </w:pPr>
      <w:r w:rsidRPr="00092269">
        <w:rPr>
          <w:rFonts w:eastAsiaTheme="minorEastAsia" w:hint="eastAsia"/>
          <w:b/>
          <w:sz w:val="22"/>
          <w:szCs w:val="22"/>
          <w:u w:val="single"/>
          <w:lang w:eastAsia="ja-JP"/>
        </w:rPr>
        <w:lastRenderedPageBreak/>
        <w:t xml:space="preserve">Observation </w:t>
      </w:r>
      <w:r>
        <w:rPr>
          <w:rFonts w:eastAsiaTheme="minorEastAsia" w:hint="eastAsia"/>
          <w:b/>
          <w:sz w:val="22"/>
          <w:szCs w:val="22"/>
          <w:u w:val="single"/>
          <w:lang w:eastAsia="ja-JP"/>
        </w:rPr>
        <w:t>4</w:t>
      </w:r>
      <w:r w:rsidRPr="00092269">
        <w:rPr>
          <w:rFonts w:eastAsiaTheme="minorEastAsia" w:hint="eastAsia"/>
          <w:b/>
          <w:sz w:val="22"/>
          <w:szCs w:val="22"/>
          <w:lang w:eastAsia="ja-JP"/>
        </w:rPr>
        <w:t xml:space="preserve">: </w:t>
      </w:r>
      <w:r>
        <w:rPr>
          <w:rFonts w:eastAsiaTheme="minorEastAsia" w:hint="eastAsia"/>
          <w:b/>
          <w:sz w:val="22"/>
          <w:szCs w:val="22"/>
          <w:lang w:eastAsia="ja-JP"/>
        </w:rPr>
        <w:t>It could be considered as another option to apply different CSF definition for carrier group with two shorter SMTC periodicities and the other carriers.</w:t>
      </w:r>
    </w:p>
    <w:p w14:paraId="71AF529D" w14:textId="77777777" w:rsidR="00BA648E" w:rsidRDefault="00BA648E" w:rsidP="00BA648E">
      <w:pPr>
        <w:spacing w:after="240"/>
        <w:jc w:val="both"/>
        <w:rPr>
          <w:rFonts w:eastAsiaTheme="minorEastAsia"/>
          <w:b/>
          <w:sz w:val="22"/>
          <w:lang w:val="en-US" w:eastAsia="ja-JP"/>
        </w:rPr>
      </w:pPr>
      <w:r w:rsidRPr="006959A9">
        <w:rPr>
          <w:rFonts w:eastAsiaTheme="minorEastAsia"/>
          <w:b/>
          <w:sz w:val="22"/>
          <w:u w:val="single"/>
          <w:lang w:val="en-US" w:eastAsia="ja-JP"/>
        </w:rPr>
        <w:t xml:space="preserve">Proposal </w:t>
      </w:r>
      <w:r>
        <w:rPr>
          <w:rFonts w:eastAsiaTheme="minorEastAsia" w:hint="eastAsia"/>
          <w:b/>
          <w:sz w:val="22"/>
          <w:u w:val="single"/>
          <w:lang w:val="en-US" w:eastAsia="ja-JP"/>
        </w:rPr>
        <w:t>3</w:t>
      </w:r>
      <w:r w:rsidRPr="006959A9">
        <w:rPr>
          <w:rFonts w:eastAsiaTheme="minorEastAsia"/>
          <w:b/>
          <w:sz w:val="22"/>
          <w:lang w:val="en-US" w:eastAsia="ja-JP"/>
        </w:rPr>
        <w:t xml:space="preserve">: </w:t>
      </w:r>
      <w:r>
        <w:rPr>
          <w:rFonts w:eastAsiaTheme="minorEastAsia" w:hint="eastAsia"/>
          <w:b/>
          <w:sz w:val="22"/>
          <w:lang w:val="en-US" w:eastAsia="ja-JP"/>
        </w:rPr>
        <w:t xml:space="preserve">Definition of CSF should be down selected from </w:t>
      </w:r>
      <w:r>
        <w:rPr>
          <w:rFonts w:eastAsiaTheme="minorEastAsia"/>
          <w:b/>
          <w:sz w:val="22"/>
          <w:lang w:val="en-US" w:eastAsia="ja-JP"/>
        </w:rPr>
        <w:t>following</w:t>
      </w:r>
      <w:r>
        <w:rPr>
          <w:rFonts w:eastAsiaTheme="minorEastAsia" w:hint="eastAsia"/>
          <w:b/>
          <w:sz w:val="22"/>
          <w:lang w:val="en-US" w:eastAsia="ja-JP"/>
        </w:rPr>
        <w:t xml:space="preserve"> options.</w:t>
      </w:r>
    </w:p>
    <w:p w14:paraId="6E015222" w14:textId="62C94F8E" w:rsidR="00BA648E" w:rsidRPr="00C07401" w:rsidRDefault="00BA648E" w:rsidP="00AA488E">
      <w:pPr>
        <w:pStyle w:val="a3"/>
        <w:numPr>
          <w:ilvl w:val="0"/>
          <w:numId w:val="37"/>
        </w:numPr>
        <w:ind w:leftChars="0"/>
        <w:jc w:val="both"/>
        <w:rPr>
          <w:rFonts w:eastAsiaTheme="minorEastAsia"/>
          <w:b/>
          <w:sz w:val="22"/>
          <w:lang w:val="en-US" w:eastAsia="ja-JP"/>
        </w:rPr>
      </w:pPr>
      <w:r w:rsidRPr="00C07401">
        <w:rPr>
          <w:rFonts w:eastAsiaTheme="minorEastAsia" w:hint="eastAsia"/>
          <w:b/>
          <w:sz w:val="22"/>
          <w:lang w:val="en-US" w:eastAsia="ja-JP"/>
        </w:rPr>
        <w:t>Option 1:</w:t>
      </w:r>
      <w:r w:rsidRPr="00C07401">
        <w:rPr>
          <w:rFonts w:eastAsiaTheme="minorEastAsia" w:hint="eastAsia"/>
          <w:b/>
          <w:sz w:val="22"/>
          <w:szCs w:val="22"/>
          <w:lang w:val="en-US" w:eastAsia="ja-JP"/>
        </w:rPr>
        <w:t xml:space="preserve"> </w:t>
      </w:r>
      <w:r w:rsidR="00AA488E" w:rsidRPr="00AA488E">
        <w:rPr>
          <w:rFonts w:eastAsiaTheme="minorEastAsia"/>
          <w:b/>
          <w:sz w:val="22"/>
          <w:szCs w:val="22"/>
          <w:lang w:val="en-US" w:eastAsia="ja-JP"/>
        </w:rPr>
        <w:t xml:space="preserve">Scaling factor based on averaged MG occasions utilized for measurement to optimize MG utilization efficiency. </w:t>
      </w:r>
      <w:r w:rsidRPr="00C07401">
        <w:rPr>
          <w:rFonts w:eastAsiaTheme="minorEastAsia" w:hint="eastAsia"/>
          <w:b/>
          <w:sz w:val="22"/>
          <w:szCs w:val="22"/>
          <w:lang w:val="en-US" w:eastAsia="ja-JP"/>
        </w:rPr>
        <w:t>(e.g. Alt. 3 in [</w:t>
      </w:r>
      <w:r w:rsidR="005350CB">
        <w:rPr>
          <w:rFonts w:eastAsiaTheme="minorEastAsia" w:hint="eastAsia"/>
          <w:b/>
          <w:sz w:val="22"/>
          <w:szCs w:val="22"/>
          <w:lang w:val="en-US" w:eastAsia="ja-JP"/>
        </w:rPr>
        <w:t>2</w:t>
      </w:r>
      <w:r w:rsidRPr="00C07401">
        <w:rPr>
          <w:rFonts w:eastAsiaTheme="minorEastAsia" w:hint="eastAsia"/>
          <w:b/>
          <w:sz w:val="22"/>
          <w:szCs w:val="22"/>
          <w:lang w:val="en-US" w:eastAsia="ja-JP"/>
        </w:rPr>
        <w:t>])</w:t>
      </w:r>
    </w:p>
    <w:p w14:paraId="0532A7D7" w14:textId="6D427AA0" w:rsidR="00042807" w:rsidRPr="00C07401" w:rsidRDefault="00042807" w:rsidP="00042807">
      <w:pPr>
        <w:pStyle w:val="a3"/>
        <w:numPr>
          <w:ilvl w:val="0"/>
          <w:numId w:val="37"/>
        </w:numPr>
        <w:ind w:leftChars="0"/>
        <w:jc w:val="both"/>
        <w:rPr>
          <w:rFonts w:eastAsiaTheme="minorEastAsia"/>
          <w:b/>
          <w:sz w:val="22"/>
          <w:szCs w:val="22"/>
          <w:lang w:val="en-US" w:eastAsia="ja-JP"/>
        </w:rPr>
      </w:pPr>
      <w:r w:rsidRPr="00C07401">
        <w:rPr>
          <w:rFonts w:eastAsiaTheme="minorEastAsia" w:hint="eastAsia"/>
          <w:b/>
          <w:sz w:val="22"/>
          <w:szCs w:val="22"/>
          <w:lang w:val="en-US" w:eastAsia="ja-JP"/>
        </w:rPr>
        <w:t xml:space="preserve">Option 2: Scaling </w:t>
      </w:r>
      <w:r w:rsidRPr="00C07401">
        <w:rPr>
          <w:rFonts w:eastAsiaTheme="minorEastAsia"/>
          <w:b/>
          <w:sz w:val="22"/>
          <w:szCs w:val="22"/>
          <w:lang w:val="en-US" w:eastAsia="ja-JP"/>
        </w:rPr>
        <w:t>factor</w:t>
      </w:r>
      <w:r w:rsidRPr="00C07401">
        <w:rPr>
          <w:rFonts w:eastAsiaTheme="minorEastAsia" w:hint="eastAsia"/>
          <w:b/>
          <w:sz w:val="22"/>
          <w:szCs w:val="22"/>
          <w:lang w:val="en-US" w:eastAsia="ja-JP"/>
        </w:rPr>
        <w:t xml:space="preserve"> based on maximum number of </w:t>
      </w:r>
      <w:r w:rsidRPr="00C07401">
        <w:rPr>
          <w:rFonts w:eastAsiaTheme="minorEastAsia"/>
          <w:b/>
          <w:sz w:val="22"/>
          <w:szCs w:val="22"/>
          <w:lang w:eastAsia="ja-JP"/>
        </w:rPr>
        <w:t xml:space="preserve">measured carriers on a MG occasion within </w:t>
      </w:r>
      <w:r w:rsidRPr="00C07401">
        <w:rPr>
          <w:rFonts w:eastAsiaTheme="minorEastAsia" w:hint="eastAsia"/>
          <w:b/>
          <w:sz w:val="22"/>
          <w:szCs w:val="22"/>
          <w:lang w:eastAsia="ja-JP"/>
        </w:rPr>
        <w:t>GURP</w:t>
      </w:r>
      <w:r w:rsidRPr="00C07401">
        <w:rPr>
          <w:rFonts w:eastAsiaTheme="minorEastAsia" w:hint="eastAsia"/>
          <w:b/>
          <w:sz w:val="22"/>
          <w:szCs w:val="22"/>
          <w:lang w:val="en-US" w:eastAsia="ja-JP"/>
        </w:rPr>
        <w:t xml:space="preserve">. (e.g. </w:t>
      </w:r>
      <w:r>
        <w:rPr>
          <w:rFonts w:eastAsiaTheme="minorEastAsia" w:hint="eastAsia"/>
          <w:b/>
          <w:sz w:val="22"/>
          <w:szCs w:val="22"/>
          <w:lang w:val="en-US" w:eastAsia="ja-JP"/>
        </w:rPr>
        <w:t>CSF in [</w:t>
      </w:r>
      <w:r w:rsidR="005350CB">
        <w:rPr>
          <w:rFonts w:eastAsiaTheme="minorEastAsia" w:hint="eastAsia"/>
          <w:b/>
          <w:sz w:val="22"/>
          <w:szCs w:val="22"/>
          <w:lang w:val="en-US" w:eastAsia="ja-JP"/>
        </w:rPr>
        <w:t>3</w:t>
      </w:r>
      <w:r>
        <w:rPr>
          <w:rFonts w:eastAsiaTheme="minorEastAsia" w:hint="eastAsia"/>
          <w:b/>
          <w:sz w:val="22"/>
          <w:szCs w:val="22"/>
          <w:lang w:val="en-US" w:eastAsia="ja-JP"/>
        </w:rPr>
        <w:t>]</w:t>
      </w:r>
      <w:r w:rsidRPr="00C07401">
        <w:rPr>
          <w:rFonts w:eastAsiaTheme="minorEastAsia" w:hint="eastAsia"/>
          <w:b/>
          <w:sz w:val="22"/>
          <w:szCs w:val="22"/>
          <w:lang w:val="en-US" w:eastAsia="ja-JP"/>
        </w:rPr>
        <w:t>)</w:t>
      </w:r>
    </w:p>
    <w:p w14:paraId="26AA3567" w14:textId="77777777" w:rsidR="00BA648E" w:rsidRDefault="00BA648E" w:rsidP="00BA648E">
      <w:pPr>
        <w:pStyle w:val="a3"/>
        <w:numPr>
          <w:ilvl w:val="0"/>
          <w:numId w:val="37"/>
        </w:numPr>
        <w:ind w:leftChars="0"/>
        <w:jc w:val="both"/>
        <w:rPr>
          <w:rFonts w:eastAsiaTheme="minorEastAsia"/>
          <w:b/>
          <w:sz w:val="22"/>
          <w:lang w:val="en-US" w:eastAsia="ja-JP"/>
        </w:rPr>
      </w:pPr>
      <w:r>
        <w:rPr>
          <w:rFonts w:eastAsiaTheme="minorEastAsia" w:hint="eastAsia"/>
          <w:b/>
          <w:sz w:val="22"/>
          <w:lang w:val="en-US" w:eastAsia="ja-JP"/>
        </w:rPr>
        <w:t>Option 3: Scaling factor derived based on following principles.</w:t>
      </w:r>
    </w:p>
    <w:p w14:paraId="6ACF85FC" w14:textId="77777777" w:rsidR="00BA648E" w:rsidRPr="00EA33BF" w:rsidRDefault="00BA648E" w:rsidP="00BA648E">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When SMTC window is fully non-overlapped with the other measured carriers, CSF should be 1.</w:t>
      </w:r>
    </w:p>
    <w:p w14:paraId="3653FF05" w14:textId="77777777" w:rsidR="00BA648E" w:rsidRPr="00EA33BF" w:rsidRDefault="00BA648E" w:rsidP="00BA648E">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When SMTC window is fully overlapped with the other measured carriers, CSF should be equal to number of measured carriers.</w:t>
      </w:r>
    </w:p>
    <w:p w14:paraId="4F6B4100" w14:textId="77777777" w:rsidR="00BA648E" w:rsidRDefault="00BA648E" w:rsidP="00BA648E">
      <w:pPr>
        <w:pStyle w:val="a3"/>
        <w:numPr>
          <w:ilvl w:val="1"/>
          <w:numId w:val="37"/>
        </w:numPr>
        <w:ind w:leftChars="0"/>
        <w:jc w:val="both"/>
        <w:rPr>
          <w:rFonts w:eastAsiaTheme="minorEastAsia"/>
          <w:b/>
          <w:sz w:val="22"/>
          <w:lang w:val="en-US" w:eastAsia="ja-JP"/>
        </w:rPr>
      </w:pPr>
      <w:r>
        <w:rPr>
          <w:rFonts w:eastAsiaTheme="minorEastAsia" w:hint="eastAsia"/>
          <w:b/>
          <w:sz w:val="22"/>
          <w:szCs w:val="22"/>
          <w:lang w:eastAsia="ja-JP"/>
        </w:rPr>
        <w:t>When there would be two SMTC periodicities, CS</w:t>
      </w:r>
      <w:r>
        <w:rPr>
          <w:rFonts w:eastAsiaTheme="minorEastAsia" w:hint="eastAsia"/>
          <w:b/>
          <w:sz w:val="22"/>
          <w:lang w:val="en-US" w:eastAsia="ja-JP"/>
        </w:rPr>
        <w:t xml:space="preserve">F should be derived based on SMTC configurations on </w:t>
      </w:r>
      <w:r>
        <w:rPr>
          <w:rFonts w:eastAsiaTheme="minorEastAsia"/>
          <w:b/>
          <w:sz w:val="22"/>
          <w:lang w:val="en-US" w:eastAsia="ja-JP"/>
        </w:rPr>
        <w:t>measured</w:t>
      </w:r>
      <w:r>
        <w:rPr>
          <w:rFonts w:eastAsiaTheme="minorEastAsia" w:hint="eastAsia"/>
          <w:b/>
          <w:sz w:val="22"/>
          <w:lang w:val="en-US" w:eastAsia="ja-JP"/>
        </w:rPr>
        <w:t xml:space="preserve"> carrier.</w:t>
      </w:r>
    </w:p>
    <w:p w14:paraId="22D8C0BF" w14:textId="2AA54A6C" w:rsidR="00BA648E" w:rsidRPr="00BA648E" w:rsidRDefault="00231167" w:rsidP="00231167">
      <w:pPr>
        <w:pStyle w:val="a3"/>
        <w:ind w:left="800"/>
        <w:rPr>
          <w:lang w:val="en-US" w:eastAsia="ja-JP"/>
        </w:rPr>
      </w:pPr>
      <w:r>
        <w:rPr>
          <w:rFonts w:eastAsiaTheme="minorEastAsia" w:hint="eastAsia"/>
          <w:b/>
          <w:sz w:val="22"/>
          <w:szCs w:val="22"/>
          <w:lang w:eastAsia="ja-JP"/>
        </w:rPr>
        <w:t>When there would be three or more SMTC periodicities, it should be avoided to define too loose delay requirements even for carriers with shorter SMTC periodicity, e.g. CSF is derived based on SMTC configurations at least for carriers with two shorter SMTC periodicities.</w:t>
      </w:r>
    </w:p>
    <w:p w14:paraId="54511ADB" w14:textId="77777777" w:rsidR="00400135" w:rsidRPr="001F4960" w:rsidRDefault="00400135" w:rsidP="00400135">
      <w:pPr>
        <w:keepNext/>
        <w:keepLines/>
        <w:pBdr>
          <w:top w:val="single" w:sz="12" w:space="2" w:color="auto"/>
        </w:pBdr>
        <w:spacing w:before="240" w:after="180"/>
        <w:jc w:val="both"/>
        <w:outlineLvl w:val="0"/>
        <w:rPr>
          <w:rFonts w:ascii="Arial" w:eastAsia="ＭＳ 明朝" w:hAnsi="Arial"/>
          <w:sz w:val="32"/>
          <w:lang w:val="en-US" w:eastAsia="ja-JP"/>
        </w:rPr>
      </w:pPr>
      <w:r w:rsidRPr="001F4960">
        <w:rPr>
          <w:rFonts w:ascii="Arial" w:eastAsia="ＭＳ 明朝" w:hAnsi="Arial"/>
          <w:sz w:val="32"/>
          <w:lang w:val="en-US" w:eastAsia="ja-JP"/>
        </w:rPr>
        <w:t>Reference</w:t>
      </w:r>
    </w:p>
    <w:p w14:paraId="2A672E35" w14:textId="6233E699" w:rsidR="005350CB" w:rsidRPr="00AA488E" w:rsidRDefault="005350CB" w:rsidP="001E10D2">
      <w:pPr>
        <w:numPr>
          <w:ilvl w:val="0"/>
          <w:numId w:val="2"/>
        </w:numPr>
        <w:spacing w:after="180"/>
        <w:jc w:val="both"/>
        <w:rPr>
          <w:rFonts w:eastAsiaTheme="minorEastAsia"/>
          <w:sz w:val="22"/>
          <w:lang w:val="en-US" w:eastAsia="ja-JP"/>
        </w:rPr>
      </w:pPr>
      <w:r w:rsidRPr="00AA488E">
        <w:rPr>
          <w:rFonts w:eastAsiaTheme="minorEastAsia" w:hint="eastAsia"/>
          <w:sz w:val="22"/>
          <w:lang w:val="en-US" w:eastAsia="ja-JP"/>
        </w:rPr>
        <w:t xml:space="preserve">3GPP, </w:t>
      </w:r>
      <w:r w:rsidR="00AA488E" w:rsidRPr="00AA488E">
        <w:rPr>
          <w:rFonts w:eastAsiaTheme="minorEastAsia" w:hint="eastAsia"/>
          <w:sz w:val="22"/>
          <w:lang w:val="en-US" w:eastAsia="ja-JP"/>
        </w:rPr>
        <w:t xml:space="preserve">draft </w:t>
      </w:r>
      <w:r w:rsidRPr="00AA488E">
        <w:rPr>
          <w:rFonts w:eastAsiaTheme="minorEastAsia" w:hint="eastAsia"/>
          <w:sz w:val="22"/>
          <w:lang w:val="en-US" w:eastAsia="ja-JP"/>
        </w:rPr>
        <w:t>TS 38.133</w:t>
      </w:r>
      <w:r w:rsidR="00AA488E" w:rsidRPr="00AA488E">
        <w:rPr>
          <w:rFonts w:eastAsiaTheme="minorEastAsia" w:hint="eastAsia"/>
          <w:sz w:val="22"/>
          <w:lang w:val="en-US" w:eastAsia="ja-JP"/>
        </w:rPr>
        <w:t xml:space="preserve"> v15.3.0</w:t>
      </w:r>
      <w:r w:rsidRPr="00AA488E">
        <w:rPr>
          <w:rFonts w:eastAsiaTheme="minorEastAsia" w:hint="eastAsia"/>
          <w:sz w:val="22"/>
          <w:lang w:val="en-US" w:eastAsia="ja-JP"/>
        </w:rPr>
        <w:t xml:space="preserve"> </w:t>
      </w:r>
    </w:p>
    <w:p w14:paraId="236C1E37" w14:textId="4006B79F" w:rsidR="003D279C" w:rsidRDefault="008133F1" w:rsidP="001E10D2">
      <w:pPr>
        <w:numPr>
          <w:ilvl w:val="0"/>
          <w:numId w:val="2"/>
        </w:numPr>
        <w:spacing w:after="180"/>
        <w:jc w:val="both"/>
        <w:rPr>
          <w:rFonts w:eastAsiaTheme="minorEastAsia"/>
          <w:sz w:val="22"/>
          <w:lang w:val="en-US" w:eastAsia="ja-JP"/>
        </w:rPr>
      </w:pPr>
      <w:r w:rsidRPr="001F4960">
        <w:rPr>
          <w:rFonts w:eastAsiaTheme="minorEastAsia"/>
          <w:sz w:val="22"/>
          <w:lang w:val="en-US" w:eastAsia="ja-JP"/>
        </w:rPr>
        <w:t>3GPP, R4-180</w:t>
      </w:r>
      <w:r w:rsidR="001E10D2" w:rsidRPr="001F4960">
        <w:rPr>
          <w:rFonts w:eastAsiaTheme="minorEastAsia"/>
          <w:sz w:val="22"/>
          <w:lang w:val="en-US" w:eastAsia="ja-JP"/>
        </w:rPr>
        <w:t>5565</w:t>
      </w:r>
      <w:r w:rsidR="003D279C" w:rsidRPr="001F4960">
        <w:rPr>
          <w:rFonts w:eastAsiaTheme="minorEastAsia"/>
          <w:sz w:val="22"/>
          <w:lang w:val="en-US" w:eastAsia="ja-JP"/>
        </w:rPr>
        <w:t xml:space="preserve">, </w:t>
      </w:r>
      <w:r w:rsidR="001E10D2" w:rsidRPr="001F4960">
        <w:rPr>
          <w:rFonts w:eastAsiaTheme="minorEastAsia"/>
          <w:sz w:val="22"/>
          <w:lang w:val="en-US" w:eastAsia="ja-JP"/>
        </w:rPr>
        <w:t xml:space="preserve">Huawei, </w:t>
      </w:r>
      <w:proofErr w:type="spellStart"/>
      <w:r w:rsidR="001E10D2" w:rsidRPr="001F4960">
        <w:rPr>
          <w:rFonts w:eastAsiaTheme="minorEastAsia"/>
          <w:sz w:val="22"/>
          <w:lang w:val="en-US" w:eastAsia="ja-JP"/>
        </w:rPr>
        <w:t>HiSilicon</w:t>
      </w:r>
      <w:proofErr w:type="spellEnd"/>
      <w:r w:rsidR="003D279C" w:rsidRPr="001F4960">
        <w:rPr>
          <w:rFonts w:eastAsiaTheme="minorEastAsia"/>
          <w:sz w:val="22"/>
          <w:lang w:val="en-US" w:eastAsia="ja-JP"/>
        </w:rPr>
        <w:t>, “</w:t>
      </w:r>
      <w:r w:rsidR="001E10D2" w:rsidRPr="001F4960">
        <w:rPr>
          <w:rFonts w:eastAsiaTheme="minorEastAsia"/>
          <w:sz w:val="22"/>
          <w:lang w:val="en-US" w:eastAsia="ja-JP"/>
        </w:rPr>
        <w:t>Way forward on SSB-based inter-frequency measurement requirements</w:t>
      </w:r>
      <w:r w:rsidR="003D279C" w:rsidRPr="001F4960">
        <w:rPr>
          <w:rFonts w:eastAsiaTheme="minorEastAsia"/>
          <w:sz w:val="22"/>
          <w:lang w:val="en-US" w:eastAsia="ja-JP"/>
        </w:rPr>
        <w:t xml:space="preserve">,” </w:t>
      </w:r>
      <w:r w:rsidRPr="001F4960">
        <w:rPr>
          <w:rFonts w:eastAsiaTheme="minorEastAsia"/>
          <w:sz w:val="22"/>
          <w:lang w:val="en-US" w:eastAsia="ja-JP"/>
        </w:rPr>
        <w:t>Apr</w:t>
      </w:r>
      <w:r w:rsidR="003D279C" w:rsidRPr="001F4960">
        <w:rPr>
          <w:rFonts w:eastAsiaTheme="minorEastAsia"/>
          <w:sz w:val="22"/>
          <w:lang w:val="en-US" w:eastAsia="ja-JP"/>
        </w:rPr>
        <w:t>. 2018</w:t>
      </w:r>
    </w:p>
    <w:p w14:paraId="0452F12D" w14:textId="78B759CF" w:rsidR="007C088D" w:rsidRPr="001E292A" w:rsidRDefault="007C088D" w:rsidP="00042807">
      <w:pPr>
        <w:numPr>
          <w:ilvl w:val="0"/>
          <w:numId w:val="2"/>
        </w:numPr>
        <w:spacing w:after="180"/>
        <w:jc w:val="both"/>
        <w:rPr>
          <w:rFonts w:eastAsiaTheme="minorEastAsia"/>
          <w:sz w:val="22"/>
          <w:lang w:val="en-US" w:eastAsia="ja-JP"/>
        </w:rPr>
      </w:pPr>
      <w:r w:rsidRPr="001E292A">
        <w:rPr>
          <w:rFonts w:eastAsiaTheme="minorEastAsia" w:hint="eastAsia"/>
          <w:sz w:val="22"/>
          <w:lang w:val="en-US" w:eastAsia="ja-JP"/>
        </w:rPr>
        <w:t xml:space="preserve">3GPP, </w:t>
      </w:r>
      <w:r w:rsidR="00042807" w:rsidRPr="00042807">
        <w:rPr>
          <w:rFonts w:eastAsiaTheme="minorEastAsia"/>
          <w:sz w:val="22"/>
          <w:lang w:val="en-US" w:eastAsia="ja-JP"/>
        </w:rPr>
        <w:t>R4-1811415</w:t>
      </w:r>
      <w:r w:rsidR="00042807">
        <w:rPr>
          <w:rFonts w:eastAsiaTheme="minorEastAsia" w:hint="eastAsia"/>
          <w:sz w:val="22"/>
          <w:lang w:val="en-US" w:eastAsia="ja-JP"/>
        </w:rPr>
        <w:t xml:space="preserve">, </w:t>
      </w:r>
      <w:proofErr w:type="spellStart"/>
      <w:r w:rsidR="00042807">
        <w:rPr>
          <w:rFonts w:eastAsiaTheme="minorEastAsia" w:hint="eastAsia"/>
          <w:sz w:val="22"/>
          <w:lang w:val="en-US" w:eastAsia="ja-JP"/>
        </w:rPr>
        <w:t>Media</w:t>
      </w:r>
      <w:r w:rsidR="00D81BB9">
        <w:rPr>
          <w:rFonts w:eastAsiaTheme="minorEastAsia" w:hint="eastAsia"/>
          <w:sz w:val="22"/>
          <w:lang w:val="en-US" w:eastAsia="ja-JP"/>
        </w:rPr>
        <w:t>T</w:t>
      </w:r>
      <w:r w:rsidR="00042807">
        <w:rPr>
          <w:rFonts w:eastAsiaTheme="minorEastAsia" w:hint="eastAsia"/>
          <w:sz w:val="22"/>
          <w:lang w:val="en-US" w:eastAsia="ja-JP"/>
        </w:rPr>
        <w:t>ek</w:t>
      </w:r>
      <w:proofErr w:type="spellEnd"/>
      <w:r w:rsidR="00042807">
        <w:rPr>
          <w:rFonts w:eastAsiaTheme="minorEastAsia" w:hint="eastAsia"/>
          <w:sz w:val="22"/>
          <w:lang w:val="en-US" w:eastAsia="ja-JP"/>
        </w:rPr>
        <w:t xml:space="preserve">, </w:t>
      </w:r>
      <w:r w:rsidR="00042807">
        <w:rPr>
          <w:rFonts w:eastAsiaTheme="minorEastAsia"/>
          <w:sz w:val="22"/>
          <w:lang w:val="en-US" w:eastAsia="ja-JP"/>
        </w:rPr>
        <w:t>“</w:t>
      </w:r>
      <w:r w:rsidR="00042807" w:rsidRPr="00042807">
        <w:rPr>
          <w:rFonts w:eastAsiaTheme="minorEastAsia"/>
          <w:sz w:val="22"/>
          <w:lang w:val="en-US" w:eastAsia="ja-JP"/>
        </w:rPr>
        <w:t>Carrier-specific scaling factor for multiple measurement objects</w:t>
      </w:r>
      <w:r w:rsidR="00042807">
        <w:rPr>
          <w:rFonts w:eastAsiaTheme="minorEastAsia" w:hint="eastAsia"/>
          <w:sz w:val="22"/>
          <w:lang w:val="en-US" w:eastAsia="ja-JP"/>
        </w:rPr>
        <w:t>,</w:t>
      </w:r>
      <w:r w:rsidR="00042807">
        <w:rPr>
          <w:rFonts w:eastAsiaTheme="minorEastAsia"/>
          <w:sz w:val="22"/>
          <w:lang w:val="en-US" w:eastAsia="ja-JP"/>
        </w:rPr>
        <w:t>”</w:t>
      </w:r>
      <w:r w:rsidR="00042807">
        <w:rPr>
          <w:rFonts w:eastAsiaTheme="minorEastAsia" w:hint="eastAsia"/>
          <w:sz w:val="22"/>
          <w:lang w:val="en-US" w:eastAsia="ja-JP"/>
        </w:rPr>
        <w:t xml:space="preserve"> Aug. 2018</w:t>
      </w:r>
    </w:p>
    <w:sectPr w:rsidR="007C088D" w:rsidRPr="001E292A"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5929F" w14:textId="77777777" w:rsidR="006F21A3" w:rsidRDefault="006F21A3" w:rsidP="00AA0EE1">
      <w:r>
        <w:separator/>
      </w:r>
    </w:p>
  </w:endnote>
  <w:endnote w:type="continuationSeparator" w:id="0">
    <w:p w14:paraId="4911C305" w14:textId="77777777" w:rsidR="006F21A3" w:rsidRDefault="006F21A3" w:rsidP="00AA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メイリオ">
    <w:panose1 w:val="020B0604030504040204"/>
    <w:charset w:val="80"/>
    <w:family w:val="modern"/>
    <w:pitch w:val="variable"/>
    <w:sig w:usb0="E10102FF" w:usb1="EAC7FFFF" w:usb2="0001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6A5D4" w14:textId="77777777" w:rsidR="006F21A3" w:rsidRDefault="006F21A3" w:rsidP="00AA0EE1">
      <w:r>
        <w:separator/>
      </w:r>
    </w:p>
  </w:footnote>
  <w:footnote w:type="continuationSeparator" w:id="0">
    <w:p w14:paraId="65737502" w14:textId="77777777" w:rsidR="006F21A3" w:rsidRDefault="006F21A3" w:rsidP="00AA0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E20"/>
    <w:multiLevelType w:val="hybridMultilevel"/>
    <w:tmpl w:val="06F685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E62A8"/>
    <w:multiLevelType w:val="hybridMultilevel"/>
    <w:tmpl w:val="1BD2A2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6F501A"/>
    <w:multiLevelType w:val="hybridMultilevel"/>
    <w:tmpl w:val="82F22590"/>
    <w:lvl w:ilvl="0" w:tplc="80C8F698">
      <w:start w:val="1"/>
      <w:numFmt w:val="bullet"/>
      <w:lvlText w:val=""/>
      <w:lvlJc w:val="left"/>
      <w:pPr>
        <w:tabs>
          <w:tab w:val="num" w:pos="720"/>
        </w:tabs>
        <w:ind w:left="720" w:hanging="360"/>
      </w:pPr>
      <w:rPr>
        <w:rFonts w:ascii="Wingdings" w:hAnsi="Wingdings" w:hint="default"/>
      </w:rPr>
    </w:lvl>
    <w:lvl w:ilvl="1" w:tplc="A8C07E22">
      <w:start w:val="900"/>
      <w:numFmt w:val="bullet"/>
      <w:lvlText w:val="•"/>
      <w:lvlJc w:val="left"/>
      <w:pPr>
        <w:tabs>
          <w:tab w:val="num" w:pos="1440"/>
        </w:tabs>
        <w:ind w:left="1440" w:hanging="360"/>
      </w:pPr>
      <w:rPr>
        <w:rFonts w:ascii="Arial" w:hAnsi="Arial" w:hint="default"/>
      </w:rPr>
    </w:lvl>
    <w:lvl w:ilvl="2" w:tplc="7FA8CCE6">
      <w:start w:val="900"/>
      <w:numFmt w:val="bullet"/>
      <w:lvlText w:val="-"/>
      <w:lvlJc w:val="left"/>
      <w:pPr>
        <w:tabs>
          <w:tab w:val="num" w:pos="2160"/>
        </w:tabs>
        <w:ind w:left="2160" w:hanging="360"/>
      </w:pPr>
      <w:rPr>
        <w:rFonts w:ascii="Calibri" w:hAnsi="Calibri" w:hint="default"/>
      </w:rPr>
    </w:lvl>
    <w:lvl w:ilvl="3" w:tplc="3FA87770">
      <w:start w:val="900"/>
      <w:numFmt w:val="bullet"/>
      <w:lvlText w:val=""/>
      <w:lvlJc w:val="left"/>
      <w:pPr>
        <w:tabs>
          <w:tab w:val="num" w:pos="2880"/>
        </w:tabs>
        <w:ind w:left="2880" w:hanging="360"/>
      </w:pPr>
      <w:rPr>
        <w:rFonts w:ascii="Wingdings" w:hAnsi="Wingdings" w:hint="default"/>
      </w:rPr>
    </w:lvl>
    <w:lvl w:ilvl="4" w:tplc="A8AC46B6" w:tentative="1">
      <w:start w:val="1"/>
      <w:numFmt w:val="bullet"/>
      <w:lvlText w:val=""/>
      <w:lvlJc w:val="left"/>
      <w:pPr>
        <w:tabs>
          <w:tab w:val="num" w:pos="3600"/>
        </w:tabs>
        <w:ind w:left="3600" w:hanging="360"/>
      </w:pPr>
      <w:rPr>
        <w:rFonts w:ascii="Wingdings" w:hAnsi="Wingdings" w:hint="default"/>
      </w:rPr>
    </w:lvl>
    <w:lvl w:ilvl="5" w:tplc="462ED334" w:tentative="1">
      <w:start w:val="1"/>
      <w:numFmt w:val="bullet"/>
      <w:lvlText w:val=""/>
      <w:lvlJc w:val="left"/>
      <w:pPr>
        <w:tabs>
          <w:tab w:val="num" w:pos="4320"/>
        </w:tabs>
        <w:ind w:left="4320" w:hanging="360"/>
      </w:pPr>
      <w:rPr>
        <w:rFonts w:ascii="Wingdings" w:hAnsi="Wingdings" w:hint="default"/>
      </w:rPr>
    </w:lvl>
    <w:lvl w:ilvl="6" w:tplc="FE2C9A16" w:tentative="1">
      <w:start w:val="1"/>
      <w:numFmt w:val="bullet"/>
      <w:lvlText w:val=""/>
      <w:lvlJc w:val="left"/>
      <w:pPr>
        <w:tabs>
          <w:tab w:val="num" w:pos="5040"/>
        </w:tabs>
        <w:ind w:left="5040" w:hanging="360"/>
      </w:pPr>
      <w:rPr>
        <w:rFonts w:ascii="Wingdings" w:hAnsi="Wingdings" w:hint="default"/>
      </w:rPr>
    </w:lvl>
    <w:lvl w:ilvl="7" w:tplc="AF189C72" w:tentative="1">
      <w:start w:val="1"/>
      <w:numFmt w:val="bullet"/>
      <w:lvlText w:val=""/>
      <w:lvlJc w:val="left"/>
      <w:pPr>
        <w:tabs>
          <w:tab w:val="num" w:pos="5760"/>
        </w:tabs>
        <w:ind w:left="5760" w:hanging="360"/>
      </w:pPr>
      <w:rPr>
        <w:rFonts w:ascii="Wingdings" w:hAnsi="Wingdings" w:hint="default"/>
      </w:rPr>
    </w:lvl>
    <w:lvl w:ilvl="8" w:tplc="36FCF306" w:tentative="1">
      <w:start w:val="1"/>
      <w:numFmt w:val="bullet"/>
      <w:lvlText w:val=""/>
      <w:lvlJc w:val="left"/>
      <w:pPr>
        <w:tabs>
          <w:tab w:val="num" w:pos="6480"/>
        </w:tabs>
        <w:ind w:left="6480" w:hanging="360"/>
      </w:pPr>
      <w:rPr>
        <w:rFonts w:ascii="Wingdings" w:hAnsi="Wingdings" w:hint="default"/>
      </w:rPr>
    </w:lvl>
  </w:abstractNum>
  <w:abstractNum w:abstractNumId="3">
    <w:nsid w:val="04B40DF2"/>
    <w:multiLevelType w:val="hybridMultilevel"/>
    <w:tmpl w:val="56B498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2906E2"/>
    <w:multiLevelType w:val="hybridMultilevel"/>
    <w:tmpl w:val="27D432E0"/>
    <w:lvl w:ilvl="0" w:tplc="2F0AE19A">
      <w:start w:val="1"/>
      <w:numFmt w:val="bullet"/>
      <w:lvlText w:val=""/>
      <w:lvlJc w:val="left"/>
      <w:pPr>
        <w:ind w:left="420" w:hanging="420"/>
      </w:pPr>
      <w:rPr>
        <w:rFonts w:ascii="Wingdings" w:hAnsi="Wingdings" w:hint="default"/>
        <w:lang w:val="en-GB"/>
      </w:rPr>
    </w:lvl>
    <w:lvl w:ilvl="1" w:tplc="1D06CF42">
      <w:start w:val="1"/>
      <w:numFmt w:val="bullet"/>
      <w:lvlText w:val="⁃"/>
      <w:lvlJc w:val="left"/>
      <w:pPr>
        <w:ind w:left="840" w:hanging="420"/>
      </w:pPr>
      <w:rPr>
        <w:rFonts w:ascii="メイリオ" w:eastAsia="メイリオ" w:hAnsi="メイリオ"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2F0AE19A">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69A7266"/>
    <w:multiLevelType w:val="hybridMultilevel"/>
    <w:tmpl w:val="CA048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D06CF42">
      <w:start w:val="1"/>
      <w:numFmt w:val="bullet"/>
      <w:lvlText w:val="⁃"/>
      <w:lvlJc w:val="left"/>
      <w:pPr>
        <w:ind w:left="1680" w:hanging="420"/>
      </w:pPr>
      <w:rPr>
        <w:rFonts w:ascii="メイリオ" w:eastAsia="メイリオ" w:hAnsi="メイリオ"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3F2860"/>
    <w:multiLevelType w:val="multilevel"/>
    <w:tmpl w:val="3A6801F4"/>
    <w:lvl w:ilvl="0">
      <w:start w:val="1"/>
      <w:numFmt w:val="decimal"/>
      <w:lvlText w:val="2.%1."/>
      <w:lvlJc w:val="left"/>
      <w:pPr>
        <w:ind w:left="425" w:hanging="425"/>
      </w:pPr>
      <w:rPr>
        <w:rFonts w:hint="eastAsia"/>
        <w:sz w:val="22"/>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FC63113"/>
    <w:multiLevelType w:val="hybridMultilevel"/>
    <w:tmpl w:val="EB70B104"/>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0FD37C9"/>
    <w:multiLevelType w:val="hybridMultilevel"/>
    <w:tmpl w:val="D6A2A2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5D55BC"/>
    <w:multiLevelType w:val="hybridMultilevel"/>
    <w:tmpl w:val="965CD0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42A0969"/>
    <w:multiLevelType w:val="hybridMultilevel"/>
    <w:tmpl w:val="5170C048"/>
    <w:lvl w:ilvl="0" w:tplc="D32009FA">
      <w:start w:val="5"/>
      <w:numFmt w:val="bullet"/>
      <w:lvlText w:val=""/>
      <w:lvlJc w:val="left"/>
      <w:pPr>
        <w:ind w:left="420" w:hanging="420"/>
      </w:pPr>
      <w:rPr>
        <w:rFonts w:ascii="Symbol" w:eastAsia="Malgun Gothic" w:hAnsi="Symbo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424FD98">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4725FE0"/>
    <w:multiLevelType w:val="hybridMultilevel"/>
    <w:tmpl w:val="212E5DC2"/>
    <w:lvl w:ilvl="0" w:tplc="2F0AE19A">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4B85739"/>
    <w:multiLevelType w:val="hybridMultilevel"/>
    <w:tmpl w:val="1B04D9AA"/>
    <w:lvl w:ilvl="0" w:tplc="0409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292F2FC1"/>
    <w:multiLevelType w:val="hybridMultilevel"/>
    <w:tmpl w:val="9BA6BC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CCB125C"/>
    <w:multiLevelType w:val="hybridMultilevel"/>
    <w:tmpl w:val="126892DC"/>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6">
    <w:nsid w:val="34DD2DD4"/>
    <w:multiLevelType w:val="hybridMultilevel"/>
    <w:tmpl w:val="B63CB5E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73358D6"/>
    <w:multiLevelType w:val="hybridMultilevel"/>
    <w:tmpl w:val="A7AE4F54"/>
    <w:lvl w:ilvl="0" w:tplc="AA061CB0">
      <w:start w:val="1"/>
      <w:numFmt w:val="bullet"/>
      <w:lvlText w:val=""/>
      <w:lvlJc w:val="left"/>
      <w:pPr>
        <w:tabs>
          <w:tab w:val="num" w:pos="720"/>
        </w:tabs>
        <w:ind w:left="720" w:hanging="360"/>
      </w:pPr>
      <w:rPr>
        <w:rFonts w:ascii="Wingdings" w:hAnsi="Wingdings" w:hint="default"/>
      </w:rPr>
    </w:lvl>
    <w:lvl w:ilvl="1" w:tplc="CC1E14EE">
      <w:start w:val="1"/>
      <w:numFmt w:val="bullet"/>
      <w:lvlText w:val=""/>
      <w:lvlJc w:val="left"/>
      <w:pPr>
        <w:tabs>
          <w:tab w:val="num" w:pos="1440"/>
        </w:tabs>
        <w:ind w:left="1440" w:hanging="360"/>
      </w:pPr>
      <w:rPr>
        <w:rFonts w:ascii="Wingdings" w:hAnsi="Wingdings" w:hint="default"/>
      </w:rPr>
    </w:lvl>
    <w:lvl w:ilvl="2" w:tplc="6B948E82" w:tentative="1">
      <w:start w:val="1"/>
      <w:numFmt w:val="bullet"/>
      <w:lvlText w:val=""/>
      <w:lvlJc w:val="left"/>
      <w:pPr>
        <w:tabs>
          <w:tab w:val="num" w:pos="2160"/>
        </w:tabs>
        <w:ind w:left="2160" w:hanging="360"/>
      </w:pPr>
      <w:rPr>
        <w:rFonts w:ascii="Wingdings" w:hAnsi="Wingdings" w:hint="default"/>
      </w:rPr>
    </w:lvl>
    <w:lvl w:ilvl="3" w:tplc="80022946">
      <w:start w:val="6518"/>
      <w:numFmt w:val="bullet"/>
      <w:lvlText w:val="•"/>
      <w:lvlJc w:val="left"/>
      <w:pPr>
        <w:tabs>
          <w:tab w:val="num" w:pos="2880"/>
        </w:tabs>
        <w:ind w:left="2880" w:hanging="360"/>
      </w:pPr>
      <w:rPr>
        <w:rFonts w:ascii="Arial" w:hAnsi="Arial" w:hint="default"/>
      </w:rPr>
    </w:lvl>
    <w:lvl w:ilvl="4" w:tplc="C0F4D9A2" w:tentative="1">
      <w:start w:val="1"/>
      <w:numFmt w:val="bullet"/>
      <w:lvlText w:val=""/>
      <w:lvlJc w:val="left"/>
      <w:pPr>
        <w:tabs>
          <w:tab w:val="num" w:pos="3600"/>
        </w:tabs>
        <w:ind w:left="3600" w:hanging="360"/>
      </w:pPr>
      <w:rPr>
        <w:rFonts w:ascii="Wingdings" w:hAnsi="Wingdings" w:hint="default"/>
      </w:rPr>
    </w:lvl>
    <w:lvl w:ilvl="5" w:tplc="A44C636C" w:tentative="1">
      <w:start w:val="1"/>
      <w:numFmt w:val="bullet"/>
      <w:lvlText w:val=""/>
      <w:lvlJc w:val="left"/>
      <w:pPr>
        <w:tabs>
          <w:tab w:val="num" w:pos="4320"/>
        </w:tabs>
        <w:ind w:left="4320" w:hanging="360"/>
      </w:pPr>
      <w:rPr>
        <w:rFonts w:ascii="Wingdings" w:hAnsi="Wingdings" w:hint="default"/>
      </w:rPr>
    </w:lvl>
    <w:lvl w:ilvl="6" w:tplc="98DA8EF2" w:tentative="1">
      <w:start w:val="1"/>
      <w:numFmt w:val="bullet"/>
      <w:lvlText w:val=""/>
      <w:lvlJc w:val="left"/>
      <w:pPr>
        <w:tabs>
          <w:tab w:val="num" w:pos="5040"/>
        </w:tabs>
        <w:ind w:left="5040" w:hanging="360"/>
      </w:pPr>
      <w:rPr>
        <w:rFonts w:ascii="Wingdings" w:hAnsi="Wingdings" w:hint="default"/>
      </w:rPr>
    </w:lvl>
    <w:lvl w:ilvl="7" w:tplc="85802556" w:tentative="1">
      <w:start w:val="1"/>
      <w:numFmt w:val="bullet"/>
      <w:lvlText w:val=""/>
      <w:lvlJc w:val="left"/>
      <w:pPr>
        <w:tabs>
          <w:tab w:val="num" w:pos="5760"/>
        </w:tabs>
        <w:ind w:left="5760" w:hanging="360"/>
      </w:pPr>
      <w:rPr>
        <w:rFonts w:ascii="Wingdings" w:hAnsi="Wingdings" w:hint="default"/>
      </w:rPr>
    </w:lvl>
    <w:lvl w:ilvl="8" w:tplc="AD60EFC4" w:tentative="1">
      <w:start w:val="1"/>
      <w:numFmt w:val="bullet"/>
      <w:lvlText w:val=""/>
      <w:lvlJc w:val="left"/>
      <w:pPr>
        <w:tabs>
          <w:tab w:val="num" w:pos="6480"/>
        </w:tabs>
        <w:ind w:left="6480" w:hanging="360"/>
      </w:pPr>
      <w:rPr>
        <w:rFonts w:ascii="Wingdings" w:hAnsi="Wingdings" w:hint="default"/>
      </w:rPr>
    </w:lvl>
  </w:abstractNum>
  <w:abstractNum w:abstractNumId="18">
    <w:nsid w:val="3C170740"/>
    <w:multiLevelType w:val="hybridMultilevel"/>
    <w:tmpl w:val="C400EB06"/>
    <w:lvl w:ilvl="0" w:tplc="F6EA01B4">
      <w:start w:val="1"/>
      <w:numFmt w:val="bullet"/>
      <w:lvlText w:val=""/>
      <w:lvlJc w:val="left"/>
      <w:pPr>
        <w:tabs>
          <w:tab w:val="num" w:pos="720"/>
        </w:tabs>
        <w:ind w:left="720" w:hanging="360"/>
      </w:pPr>
      <w:rPr>
        <w:rFonts w:ascii="Wingdings" w:hAnsi="Wingdings" w:hint="default"/>
      </w:rPr>
    </w:lvl>
    <w:lvl w:ilvl="1" w:tplc="8EB88A68">
      <w:start w:val="1225"/>
      <w:numFmt w:val="bullet"/>
      <w:lvlText w:val="•"/>
      <w:lvlJc w:val="left"/>
      <w:pPr>
        <w:tabs>
          <w:tab w:val="num" w:pos="1440"/>
        </w:tabs>
        <w:ind w:left="1440" w:hanging="360"/>
      </w:pPr>
      <w:rPr>
        <w:rFonts w:ascii="Arial" w:hAnsi="Arial" w:hint="default"/>
      </w:rPr>
    </w:lvl>
    <w:lvl w:ilvl="2" w:tplc="259E6CD0">
      <w:start w:val="1225"/>
      <w:numFmt w:val="bullet"/>
      <w:lvlText w:val="-"/>
      <w:lvlJc w:val="left"/>
      <w:pPr>
        <w:tabs>
          <w:tab w:val="num" w:pos="2160"/>
        </w:tabs>
        <w:ind w:left="2160" w:hanging="360"/>
      </w:pPr>
      <w:rPr>
        <w:rFonts w:ascii="Calibri" w:hAnsi="Calibri" w:hint="default"/>
      </w:rPr>
    </w:lvl>
    <w:lvl w:ilvl="3" w:tplc="BF70C5F2">
      <w:start w:val="1225"/>
      <w:numFmt w:val="bullet"/>
      <w:lvlText w:val=""/>
      <w:lvlJc w:val="left"/>
      <w:pPr>
        <w:tabs>
          <w:tab w:val="num" w:pos="2880"/>
        </w:tabs>
        <w:ind w:left="2880" w:hanging="360"/>
      </w:pPr>
      <w:rPr>
        <w:rFonts w:ascii="Wingdings" w:hAnsi="Wingdings" w:hint="default"/>
      </w:rPr>
    </w:lvl>
    <w:lvl w:ilvl="4" w:tplc="6B725EF6">
      <w:start w:val="1225"/>
      <w:numFmt w:val="bullet"/>
      <w:lvlText w:val="-"/>
      <w:lvlJc w:val="left"/>
      <w:pPr>
        <w:tabs>
          <w:tab w:val="num" w:pos="3600"/>
        </w:tabs>
        <w:ind w:left="3600" w:hanging="360"/>
      </w:pPr>
      <w:rPr>
        <w:rFonts w:ascii="Calibri" w:hAnsi="Calibri" w:hint="default"/>
      </w:rPr>
    </w:lvl>
    <w:lvl w:ilvl="5" w:tplc="67549590">
      <w:start w:val="1225"/>
      <w:numFmt w:val="bullet"/>
      <w:lvlText w:val="-"/>
      <w:lvlJc w:val="left"/>
      <w:pPr>
        <w:tabs>
          <w:tab w:val="num" w:pos="4320"/>
        </w:tabs>
        <w:ind w:left="4320" w:hanging="360"/>
      </w:pPr>
      <w:rPr>
        <w:rFonts w:ascii="Calibri" w:hAnsi="Calibri" w:hint="default"/>
      </w:rPr>
    </w:lvl>
    <w:lvl w:ilvl="6" w:tplc="276803E6" w:tentative="1">
      <w:start w:val="1"/>
      <w:numFmt w:val="bullet"/>
      <w:lvlText w:val=""/>
      <w:lvlJc w:val="left"/>
      <w:pPr>
        <w:tabs>
          <w:tab w:val="num" w:pos="5040"/>
        </w:tabs>
        <w:ind w:left="5040" w:hanging="360"/>
      </w:pPr>
      <w:rPr>
        <w:rFonts w:ascii="Wingdings" w:hAnsi="Wingdings" w:hint="default"/>
      </w:rPr>
    </w:lvl>
    <w:lvl w:ilvl="7" w:tplc="C6BA41A8" w:tentative="1">
      <w:start w:val="1"/>
      <w:numFmt w:val="bullet"/>
      <w:lvlText w:val=""/>
      <w:lvlJc w:val="left"/>
      <w:pPr>
        <w:tabs>
          <w:tab w:val="num" w:pos="5760"/>
        </w:tabs>
        <w:ind w:left="5760" w:hanging="360"/>
      </w:pPr>
      <w:rPr>
        <w:rFonts w:ascii="Wingdings" w:hAnsi="Wingdings" w:hint="default"/>
      </w:rPr>
    </w:lvl>
    <w:lvl w:ilvl="8" w:tplc="5C8CEF92" w:tentative="1">
      <w:start w:val="1"/>
      <w:numFmt w:val="bullet"/>
      <w:lvlText w:val=""/>
      <w:lvlJc w:val="left"/>
      <w:pPr>
        <w:tabs>
          <w:tab w:val="num" w:pos="6480"/>
        </w:tabs>
        <w:ind w:left="6480" w:hanging="360"/>
      </w:pPr>
      <w:rPr>
        <w:rFonts w:ascii="Wingdings" w:hAnsi="Wingdings" w:hint="default"/>
      </w:rPr>
    </w:lvl>
  </w:abstractNum>
  <w:abstractNum w:abstractNumId="19">
    <w:nsid w:val="439C03CF"/>
    <w:multiLevelType w:val="hybridMultilevel"/>
    <w:tmpl w:val="8D964DD0"/>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20">
    <w:nsid w:val="45F33790"/>
    <w:multiLevelType w:val="hybridMultilevel"/>
    <w:tmpl w:val="A18ACA14"/>
    <w:lvl w:ilvl="0" w:tplc="EF124466">
      <w:start w:val="1"/>
      <w:numFmt w:val="bullet"/>
      <w:lvlText w:val="•"/>
      <w:lvlJc w:val="left"/>
      <w:pPr>
        <w:tabs>
          <w:tab w:val="num" w:pos="720"/>
        </w:tabs>
        <w:ind w:left="720" w:hanging="360"/>
      </w:pPr>
      <w:rPr>
        <w:rFonts w:ascii="Arial" w:hAnsi="Arial" w:hint="default"/>
      </w:rPr>
    </w:lvl>
    <w:lvl w:ilvl="1" w:tplc="8A74FB8C">
      <w:start w:val="1"/>
      <w:numFmt w:val="decimal"/>
      <w:lvlText w:val="%2)"/>
      <w:lvlJc w:val="left"/>
      <w:pPr>
        <w:tabs>
          <w:tab w:val="num" w:pos="1440"/>
        </w:tabs>
        <w:ind w:left="1440" w:hanging="360"/>
      </w:p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21">
    <w:nsid w:val="47BE7D6D"/>
    <w:multiLevelType w:val="hybridMultilevel"/>
    <w:tmpl w:val="1E38C600"/>
    <w:lvl w:ilvl="0" w:tplc="2F0AE19A">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879126A"/>
    <w:multiLevelType w:val="hybridMultilevel"/>
    <w:tmpl w:val="2F58A2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9E41C1"/>
    <w:multiLevelType w:val="hybridMultilevel"/>
    <w:tmpl w:val="B17C74EA"/>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DD64D4A"/>
    <w:multiLevelType w:val="hybridMultilevel"/>
    <w:tmpl w:val="A87883CC"/>
    <w:lvl w:ilvl="0" w:tplc="6CFA4020">
      <w:start w:val="1"/>
      <w:numFmt w:val="decimal"/>
      <w:lvlText w:val="Option 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7DE2F08"/>
    <w:multiLevelType w:val="hybridMultilevel"/>
    <w:tmpl w:val="0CDEFE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B343493"/>
    <w:multiLevelType w:val="hybridMultilevel"/>
    <w:tmpl w:val="49EA1AE0"/>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28">
    <w:nsid w:val="5D2A6ECF"/>
    <w:multiLevelType w:val="hybridMultilevel"/>
    <w:tmpl w:val="D648313E"/>
    <w:lvl w:ilvl="0" w:tplc="2A80E7D8">
      <w:start w:val="1"/>
      <w:numFmt w:val="bullet"/>
      <w:lvlText w:val=""/>
      <w:lvlJc w:val="left"/>
      <w:pPr>
        <w:tabs>
          <w:tab w:val="num" w:pos="720"/>
        </w:tabs>
        <w:ind w:left="720" w:hanging="360"/>
      </w:pPr>
      <w:rPr>
        <w:rFonts w:ascii="Wingdings" w:hAnsi="Wingdings" w:hint="default"/>
      </w:rPr>
    </w:lvl>
    <w:lvl w:ilvl="1" w:tplc="2F0AE19A">
      <w:start w:val="1"/>
      <w:numFmt w:val="bullet"/>
      <w:lvlText w:val=""/>
      <w:lvlJc w:val="left"/>
      <w:pPr>
        <w:tabs>
          <w:tab w:val="num" w:pos="1440"/>
        </w:tabs>
        <w:ind w:left="1440" w:hanging="360"/>
      </w:pPr>
      <w:rPr>
        <w:rFonts w:ascii="Wingdings" w:hAnsi="Wingdings" w:hint="default"/>
      </w:rPr>
    </w:lvl>
    <w:lvl w:ilvl="2" w:tplc="8A52D0AC">
      <w:start w:val="6959"/>
      <w:numFmt w:val="bullet"/>
      <w:lvlText w:val="o"/>
      <w:lvlJc w:val="left"/>
      <w:pPr>
        <w:tabs>
          <w:tab w:val="num" w:pos="2160"/>
        </w:tabs>
        <w:ind w:left="2160" w:hanging="360"/>
      </w:pPr>
      <w:rPr>
        <w:rFonts w:ascii="Courier New" w:hAnsi="Courier New" w:hint="default"/>
      </w:rPr>
    </w:lvl>
    <w:lvl w:ilvl="3" w:tplc="05FAC0D2" w:tentative="1">
      <w:start w:val="1"/>
      <w:numFmt w:val="bullet"/>
      <w:lvlText w:val=""/>
      <w:lvlJc w:val="left"/>
      <w:pPr>
        <w:tabs>
          <w:tab w:val="num" w:pos="2880"/>
        </w:tabs>
        <w:ind w:left="2880" w:hanging="360"/>
      </w:pPr>
      <w:rPr>
        <w:rFonts w:ascii="Wingdings" w:hAnsi="Wingdings" w:hint="default"/>
      </w:rPr>
    </w:lvl>
    <w:lvl w:ilvl="4" w:tplc="DEFABCF4" w:tentative="1">
      <w:start w:val="1"/>
      <w:numFmt w:val="bullet"/>
      <w:lvlText w:val=""/>
      <w:lvlJc w:val="left"/>
      <w:pPr>
        <w:tabs>
          <w:tab w:val="num" w:pos="3600"/>
        </w:tabs>
        <w:ind w:left="3600" w:hanging="360"/>
      </w:pPr>
      <w:rPr>
        <w:rFonts w:ascii="Wingdings" w:hAnsi="Wingdings" w:hint="default"/>
      </w:rPr>
    </w:lvl>
    <w:lvl w:ilvl="5" w:tplc="8F52BDD4" w:tentative="1">
      <w:start w:val="1"/>
      <w:numFmt w:val="bullet"/>
      <w:lvlText w:val=""/>
      <w:lvlJc w:val="left"/>
      <w:pPr>
        <w:tabs>
          <w:tab w:val="num" w:pos="4320"/>
        </w:tabs>
        <w:ind w:left="4320" w:hanging="360"/>
      </w:pPr>
      <w:rPr>
        <w:rFonts w:ascii="Wingdings" w:hAnsi="Wingdings" w:hint="default"/>
      </w:rPr>
    </w:lvl>
    <w:lvl w:ilvl="6" w:tplc="26F87E86" w:tentative="1">
      <w:start w:val="1"/>
      <w:numFmt w:val="bullet"/>
      <w:lvlText w:val=""/>
      <w:lvlJc w:val="left"/>
      <w:pPr>
        <w:tabs>
          <w:tab w:val="num" w:pos="5040"/>
        </w:tabs>
        <w:ind w:left="5040" w:hanging="360"/>
      </w:pPr>
      <w:rPr>
        <w:rFonts w:ascii="Wingdings" w:hAnsi="Wingdings" w:hint="default"/>
      </w:rPr>
    </w:lvl>
    <w:lvl w:ilvl="7" w:tplc="7920667A" w:tentative="1">
      <w:start w:val="1"/>
      <w:numFmt w:val="bullet"/>
      <w:lvlText w:val=""/>
      <w:lvlJc w:val="left"/>
      <w:pPr>
        <w:tabs>
          <w:tab w:val="num" w:pos="5760"/>
        </w:tabs>
        <w:ind w:left="5760" w:hanging="360"/>
      </w:pPr>
      <w:rPr>
        <w:rFonts w:ascii="Wingdings" w:hAnsi="Wingdings" w:hint="default"/>
      </w:rPr>
    </w:lvl>
    <w:lvl w:ilvl="8" w:tplc="C28AC85C" w:tentative="1">
      <w:start w:val="1"/>
      <w:numFmt w:val="bullet"/>
      <w:lvlText w:val=""/>
      <w:lvlJc w:val="left"/>
      <w:pPr>
        <w:tabs>
          <w:tab w:val="num" w:pos="6480"/>
        </w:tabs>
        <w:ind w:left="6480" w:hanging="360"/>
      </w:pPr>
      <w:rPr>
        <w:rFonts w:ascii="Wingdings" w:hAnsi="Wingdings" w:hint="default"/>
      </w:rPr>
    </w:lvl>
  </w:abstractNum>
  <w:abstractNum w:abstractNumId="29">
    <w:nsid w:val="606C6D3C"/>
    <w:multiLevelType w:val="hybridMultilevel"/>
    <w:tmpl w:val="4CBAC9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955954"/>
    <w:multiLevelType w:val="hybridMultilevel"/>
    <w:tmpl w:val="611E43B6"/>
    <w:lvl w:ilvl="0" w:tplc="25B04FBC">
      <w:start w:val="1"/>
      <w:numFmt w:val="bullet"/>
      <w:lvlText w:val=""/>
      <w:lvlJc w:val="left"/>
      <w:pPr>
        <w:tabs>
          <w:tab w:val="num" w:pos="720"/>
        </w:tabs>
        <w:ind w:left="720" w:hanging="360"/>
      </w:pPr>
      <w:rPr>
        <w:rFonts w:ascii="Wingdings" w:hAnsi="Wingdings" w:hint="default"/>
      </w:rPr>
    </w:lvl>
    <w:lvl w:ilvl="1" w:tplc="583686CE">
      <w:start w:val="900"/>
      <w:numFmt w:val="bullet"/>
      <w:lvlText w:val="•"/>
      <w:lvlJc w:val="left"/>
      <w:pPr>
        <w:tabs>
          <w:tab w:val="num" w:pos="1440"/>
        </w:tabs>
        <w:ind w:left="1440" w:hanging="360"/>
      </w:pPr>
      <w:rPr>
        <w:rFonts w:ascii="Arial" w:hAnsi="Arial" w:hint="default"/>
      </w:rPr>
    </w:lvl>
    <w:lvl w:ilvl="2" w:tplc="F79EEDF4">
      <w:start w:val="900"/>
      <w:numFmt w:val="bullet"/>
      <w:lvlText w:val="-"/>
      <w:lvlJc w:val="left"/>
      <w:pPr>
        <w:tabs>
          <w:tab w:val="num" w:pos="2160"/>
        </w:tabs>
        <w:ind w:left="2160" w:hanging="360"/>
      </w:pPr>
      <w:rPr>
        <w:rFonts w:ascii="Calibri" w:hAnsi="Calibri" w:hint="default"/>
      </w:rPr>
    </w:lvl>
    <w:lvl w:ilvl="3" w:tplc="4E240E7C" w:tentative="1">
      <w:start w:val="1"/>
      <w:numFmt w:val="bullet"/>
      <w:lvlText w:val=""/>
      <w:lvlJc w:val="left"/>
      <w:pPr>
        <w:tabs>
          <w:tab w:val="num" w:pos="2880"/>
        </w:tabs>
        <w:ind w:left="2880" w:hanging="360"/>
      </w:pPr>
      <w:rPr>
        <w:rFonts w:ascii="Wingdings" w:hAnsi="Wingdings" w:hint="default"/>
      </w:rPr>
    </w:lvl>
    <w:lvl w:ilvl="4" w:tplc="141839D2" w:tentative="1">
      <w:start w:val="1"/>
      <w:numFmt w:val="bullet"/>
      <w:lvlText w:val=""/>
      <w:lvlJc w:val="left"/>
      <w:pPr>
        <w:tabs>
          <w:tab w:val="num" w:pos="3600"/>
        </w:tabs>
        <w:ind w:left="3600" w:hanging="360"/>
      </w:pPr>
      <w:rPr>
        <w:rFonts w:ascii="Wingdings" w:hAnsi="Wingdings" w:hint="default"/>
      </w:rPr>
    </w:lvl>
    <w:lvl w:ilvl="5" w:tplc="81B2FA40" w:tentative="1">
      <w:start w:val="1"/>
      <w:numFmt w:val="bullet"/>
      <w:lvlText w:val=""/>
      <w:lvlJc w:val="left"/>
      <w:pPr>
        <w:tabs>
          <w:tab w:val="num" w:pos="4320"/>
        </w:tabs>
        <w:ind w:left="4320" w:hanging="360"/>
      </w:pPr>
      <w:rPr>
        <w:rFonts w:ascii="Wingdings" w:hAnsi="Wingdings" w:hint="default"/>
      </w:rPr>
    </w:lvl>
    <w:lvl w:ilvl="6" w:tplc="2864DF2E" w:tentative="1">
      <w:start w:val="1"/>
      <w:numFmt w:val="bullet"/>
      <w:lvlText w:val=""/>
      <w:lvlJc w:val="left"/>
      <w:pPr>
        <w:tabs>
          <w:tab w:val="num" w:pos="5040"/>
        </w:tabs>
        <w:ind w:left="5040" w:hanging="360"/>
      </w:pPr>
      <w:rPr>
        <w:rFonts w:ascii="Wingdings" w:hAnsi="Wingdings" w:hint="default"/>
      </w:rPr>
    </w:lvl>
    <w:lvl w:ilvl="7" w:tplc="8F22B31C" w:tentative="1">
      <w:start w:val="1"/>
      <w:numFmt w:val="bullet"/>
      <w:lvlText w:val=""/>
      <w:lvlJc w:val="left"/>
      <w:pPr>
        <w:tabs>
          <w:tab w:val="num" w:pos="5760"/>
        </w:tabs>
        <w:ind w:left="5760" w:hanging="360"/>
      </w:pPr>
      <w:rPr>
        <w:rFonts w:ascii="Wingdings" w:hAnsi="Wingdings" w:hint="default"/>
      </w:rPr>
    </w:lvl>
    <w:lvl w:ilvl="8" w:tplc="EB78F396" w:tentative="1">
      <w:start w:val="1"/>
      <w:numFmt w:val="bullet"/>
      <w:lvlText w:val=""/>
      <w:lvlJc w:val="left"/>
      <w:pPr>
        <w:tabs>
          <w:tab w:val="num" w:pos="6480"/>
        </w:tabs>
        <w:ind w:left="6480" w:hanging="360"/>
      </w:pPr>
      <w:rPr>
        <w:rFonts w:ascii="Wingdings" w:hAnsi="Wingdings" w:hint="default"/>
      </w:rPr>
    </w:lvl>
  </w:abstractNum>
  <w:abstractNum w:abstractNumId="32">
    <w:nsid w:val="6E9F0E60"/>
    <w:multiLevelType w:val="hybridMultilevel"/>
    <w:tmpl w:val="6DA4A2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4EF3AC5"/>
    <w:multiLevelType w:val="hybridMultilevel"/>
    <w:tmpl w:val="CE2C01E2"/>
    <w:lvl w:ilvl="0" w:tplc="7F4CFF86">
      <w:start w:val="1"/>
      <w:numFmt w:val="bullet"/>
      <w:lvlText w:val="•"/>
      <w:lvlJc w:val="left"/>
      <w:pPr>
        <w:tabs>
          <w:tab w:val="num" w:pos="720"/>
        </w:tabs>
        <w:ind w:left="720" w:hanging="360"/>
      </w:pPr>
      <w:rPr>
        <w:rFonts w:ascii="Arial" w:hAnsi="Arial" w:hint="default"/>
      </w:rPr>
    </w:lvl>
    <w:lvl w:ilvl="1" w:tplc="5A46BC38">
      <w:start w:val="1"/>
      <w:numFmt w:val="decimal"/>
      <w:lvlText w:val="%2)"/>
      <w:lvlJc w:val="left"/>
      <w:pPr>
        <w:tabs>
          <w:tab w:val="num" w:pos="1440"/>
        </w:tabs>
        <w:ind w:left="1440" w:hanging="360"/>
      </w:pPr>
    </w:lvl>
    <w:lvl w:ilvl="2" w:tplc="512420A0">
      <w:start w:val="6475"/>
      <w:numFmt w:val="bullet"/>
      <w:lvlText w:val="•"/>
      <w:lvlJc w:val="left"/>
      <w:pPr>
        <w:tabs>
          <w:tab w:val="num" w:pos="2160"/>
        </w:tabs>
        <w:ind w:left="2160" w:hanging="360"/>
      </w:pPr>
      <w:rPr>
        <w:rFonts w:ascii="Arial" w:hAnsi="Arial" w:hint="default"/>
      </w:rPr>
    </w:lvl>
    <w:lvl w:ilvl="3" w:tplc="F81AAC7A">
      <w:start w:val="6475"/>
      <w:numFmt w:val="bullet"/>
      <w:lvlText w:val="•"/>
      <w:lvlJc w:val="left"/>
      <w:pPr>
        <w:tabs>
          <w:tab w:val="num" w:pos="2880"/>
        </w:tabs>
        <w:ind w:left="2880" w:hanging="360"/>
      </w:pPr>
      <w:rPr>
        <w:rFonts w:ascii="Arial" w:hAnsi="Arial" w:hint="default"/>
      </w:rPr>
    </w:lvl>
    <w:lvl w:ilvl="4" w:tplc="705CD810" w:tentative="1">
      <w:start w:val="1"/>
      <w:numFmt w:val="bullet"/>
      <w:lvlText w:val="•"/>
      <w:lvlJc w:val="left"/>
      <w:pPr>
        <w:tabs>
          <w:tab w:val="num" w:pos="3600"/>
        </w:tabs>
        <w:ind w:left="3600" w:hanging="360"/>
      </w:pPr>
      <w:rPr>
        <w:rFonts w:ascii="Arial" w:hAnsi="Arial" w:hint="default"/>
      </w:rPr>
    </w:lvl>
    <w:lvl w:ilvl="5" w:tplc="9FF60828" w:tentative="1">
      <w:start w:val="1"/>
      <w:numFmt w:val="bullet"/>
      <w:lvlText w:val="•"/>
      <w:lvlJc w:val="left"/>
      <w:pPr>
        <w:tabs>
          <w:tab w:val="num" w:pos="4320"/>
        </w:tabs>
        <w:ind w:left="4320" w:hanging="360"/>
      </w:pPr>
      <w:rPr>
        <w:rFonts w:ascii="Arial" w:hAnsi="Arial" w:hint="default"/>
      </w:rPr>
    </w:lvl>
    <w:lvl w:ilvl="6" w:tplc="5A4210D6" w:tentative="1">
      <w:start w:val="1"/>
      <w:numFmt w:val="bullet"/>
      <w:lvlText w:val="•"/>
      <w:lvlJc w:val="left"/>
      <w:pPr>
        <w:tabs>
          <w:tab w:val="num" w:pos="5040"/>
        </w:tabs>
        <w:ind w:left="5040" w:hanging="360"/>
      </w:pPr>
      <w:rPr>
        <w:rFonts w:ascii="Arial" w:hAnsi="Arial" w:hint="default"/>
      </w:rPr>
    </w:lvl>
    <w:lvl w:ilvl="7" w:tplc="67A0EE54" w:tentative="1">
      <w:start w:val="1"/>
      <w:numFmt w:val="bullet"/>
      <w:lvlText w:val="•"/>
      <w:lvlJc w:val="left"/>
      <w:pPr>
        <w:tabs>
          <w:tab w:val="num" w:pos="5760"/>
        </w:tabs>
        <w:ind w:left="5760" w:hanging="360"/>
      </w:pPr>
      <w:rPr>
        <w:rFonts w:ascii="Arial" w:hAnsi="Arial" w:hint="default"/>
      </w:rPr>
    </w:lvl>
    <w:lvl w:ilvl="8" w:tplc="A2D44AFA" w:tentative="1">
      <w:start w:val="1"/>
      <w:numFmt w:val="bullet"/>
      <w:lvlText w:val="•"/>
      <w:lvlJc w:val="left"/>
      <w:pPr>
        <w:tabs>
          <w:tab w:val="num" w:pos="6480"/>
        </w:tabs>
        <w:ind w:left="6480" w:hanging="360"/>
      </w:pPr>
      <w:rPr>
        <w:rFonts w:ascii="Arial" w:hAnsi="Arial" w:hint="default"/>
      </w:rPr>
    </w:lvl>
  </w:abstractNum>
  <w:abstractNum w:abstractNumId="34">
    <w:nsid w:val="78343952"/>
    <w:multiLevelType w:val="hybridMultilevel"/>
    <w:tmpl w:val="7C7AB06C"/>
    <w:lvl w:ilvl="0" w:tplc="2F0AE19A">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35">
    <w:nsid w:val="78AB153C"/>
    <w:multiLevelType w:val="hybridMultilevel"/>
    <w:tmpl w:val="7B88B5B4"/>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EAA076F"/>
    <w:multiLevelType w:val="hybridMultilevel"/>
    <w:tmpl w:val="0C3CB198"/>
    <w:lvl w:ilvl="0" w:tplc="D32009FA">
      <w:start w:val="5"/>
      <w:numFmt w:val="bullet"/>
      <w:lvlText w:val=""/>
      <w:lvlJc w:val="left"/>
      <w:pPr>
        <w:ind w:left="420" w:hanging="420"/>
      </w:pPr>
      <w:rPr>
        <w:rFonts w:ascii="Symbol" w:eastAsia="Malgun Gothic" w:hAnsi="Symbo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35"/>
  </w:num>
  <w:num w:numId="4">
    <w:abstractNumId w:val="14"/>
  </w:num>
  <w:num w:numId="5">
    <w:abstractNumId w:val="1"/>
  </w:num>
  <w:num w:numId="6">
    <w:abstractNumId w:val="5"/>
  </w:num>
  <w:num w:numId="7">
    <w:abstractNumId w:val="33"/>
  </w:num>
  <w:num w:numId="8">
    <w:abstractNumId w:val="20"/>
  </w:num>
  <w:num w:numId="9">
    <w:abstractNumId w:val="19"/>
  </w:num>
  <w:num w:numId="10">
    <w:abstractNumId w:val="27"/>
  </w:num>
  <w:num w:numId="11">
    <w:abstractNumId w:val="15"/>
  </w:num>
  <w:num w:numId="12">
    <w:abstractNumId w:val="28"/>
  </w:num>
  <w:num w:numId="13">
    <w:abstractNumId w:val="17"/>
  </w:num>
  <w:num w:numId="14">
    <w:abstractNumId w:val="0"/>
  </w:num>
  <w:num w:numId="15">
    <w:abstractNumId w:val="18"/>
  </w:num>
  <w:num w:numId="16">
    <w:abstractNumId w:val="2"/>
  </w:num>
  <w:num w:numId="17">
    <w:abstractNumId w:val="31"/>
  </w:num>
  <w:num w:numId="18">
    <w:abstractNumId w:val="8"/>
  </w:num>
  <w:num w:numId="19">
    <w:abstractNumId w:val="9"/>
  </w:num>
  <w:num w:numId="20">
    <w:abstractNumId w:val="32"/>
  </w:num>
  <w:num w:numId="21">
    <w:abstractNumId w:val="4"/>
  </w:num>
  <w:num w:numId="22">
    <w:abstractNumId w:val="34"/>
  </w:num>
  <w:num w:numId="23">
    <w:abstractNumId w:val="24"/>
  </w:num>
  <w:num w:numId="24">
    <w:abstractNumId w:val="11"/>
  </w:num>
  <w:num w:numId="25">
    <w:abstractNumId w:val="16"/>
  </w:num>
  <w:num w:numId="26">
    <w:abstractNumId w:val="21"/>
  </w:num>
  <w:num w:numId="27">
    <w:abstractNumId w:val="36"/>
  </w:num>
  <w:num w:numId="28">
    <w:abstractNumId w:val="10"/>
  </w:num>
  <w:num w:numId="29">
    <w:abstractNumId w:val="23"/>
  </w:num>
  <w:num w:numId="30">
    <w:abstractNumId w:val="30"/>
  </w:num>
  <w:num w:numId="31">
    <w:abstractNumId w:val="25"/>
  </w:num>
  <w:num w:numId="32">
    <w:abstractNumId w:val="12"/>
  </w:num>
  <w:num w:numId="33">
    <w:abstractNumId w:val="6"/>
  </w:num>
  <w:num w:numId="34">
    <w:abstractNumId w:val="22"/>
  </w:num>
  <w:num w:numId="35">
    <w:abstractNumId w:val="29"/>
  </w:num>
  <w:num w:numId="36">
    <w:abstractNumId w:val="7"/>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135"/>
    <w:rsid w:val="000006C2"/>
    <w:rsid w:val="00002CF5"/>
    <w:rsid w:val="00005F34"/>
    <w:rsid w:val="000077DD"/>
    <w:rsid w:val="00007F11"/>
    <w:rsid w:val="00021F85"/>
    <w:rsid w:val="0002564E"/>
    <w:rsid w:val="00033042"/>
    <w:rsid w:val="000420B7"/>
    <w:rsid w:val="00042730"/>
    <w:rsid w:val="00042807"/>
    <w:rsid w:val="000429B4"/>
    <w:rsid w:val="00043649"/>
    <w:rsid w:val="00053C08"/>
    <w:rsid w:val="000545C7"/>
    <w:rsid w:val="00054E28"/>
    <w:rsid w:val="00061F34"/>
    <w:rsid w:val="0008003A"/>
    <w:rsid w:val="000874C9"/>
    <w:rsid w:val="00092269"/>
    <w:rsid w:val="00097E1C"/>
    <w:rsid w:val="000A43DD"/>
    <w:rsid w:val="000A49E6"/>
    <w:rsid w:val="000A5B45"/>
    <w:rsid w:val="000A5D6B"/>
    <w:rsid w:val="000A73FA"/>
    <w:rsid w:val="000B5916"/>
    <w:rsid w:val="000C25E6"/>
    <w:rsid w:val="000C6AB4"/>
    <w:rsid w:val="000E4068"/>
    <w:rsid w:val="000F0400"/>
    <w:rsid w:val="000F36B3"/>
    <w:rsid w:val="000F384E"/>
    <w:rsid w:val="000F3F13"/>
    <w:rsid w:val="00100AE4"/>
    <w:rsid w:val="001064B8"/>
    <w:rsid w:val="00106DBC"/>
    <w:rsid w:val="00110041"/>
    <w:rsid w:val="00112008"/>
    <w:rsid w:val="00115BC8"/>
    <w:rsid w:val="00123593"/>
    <w:rsid w:val="0012654A"/>
    <w:rsid w:val="0013681D"/>
    <w:rsid w:val="001379D6"/>
    <w:rsid w:val="00141588"/>
    <w:rsid w:val="00145E8C"/>
    <w:rsid w:val="001475DD"/>
    <w:rsid w:val="001506E8"/>
    <w:rsid w:val="001610B6"/>
    <w:rsid w:val="00162A64"/>
    <w:rsid w:val="00175676"/>
    <w:rsid w:val="0018523E"/>
    <w:rsid w:val="00185938"/>
    <w:rsid w:val="00193388"/>
    <w:rsid w:val="001957B1"/>
    <w:rsid w:val="001A2140"/>
    <w:rsid w:val="001A47B2"/>
    <w:rsid w:val="001B5159"/>
    <w:rsid w:val="001B66C7"/>
    <w:rsid w:val="001C09A6"/>
    <w:rsid w:val="001C385B"/>
    <w:rsid w:val="001C4AF7"/>
    <w:rsid w:val="001C5393"/>
    <w:rsid w:val="001C5C63"/>
    <w:rsid w:val="001C7151"/>
    <w:rsid w:val="001D1D59"/>
    <w:rsid w:val="001D53B5"/>
    <w:rsid w:val="001E10D2"/>
    <w:rsid w:val="001E1DF9"/>
    <w:rsid w:val="001E292A"/>
    <w:rsid w:val="001E7726"/>
    <w:rsid w:val="001E798C"/>
    <w:rsid w:val="001F1364"/>
    <w:rsid w:val="001F2A75"/>
    <w:rsid w:val="001F4960"/>
    <w:rsid w:val="00200E71"/>
    <w:rsid w:val="00201B70"/>
    <w:rsid w:val="002043DF"/>
    <w:rsid w:val="002049AC"/>
    <w:rsid w:val="00210671"/>
    <w:rsid w:val="00231167"/>
    <w:rsid w:val="00232591"/>
    <w:rsid w:val="002359BC"/>
    <w:rsid w:val="00236C6F"/>
    <w:rsid w:val="00251B28"/>
    <w:rsid w:val="00252ED3"/>
    <w:rsid w:val="002556E4"/>
    <w:rsid w:val="00264F0D"/>
    <w:rsid w:val="00266659"/>
    <w:rsid w:val="00267490"/>
    <w:rsid w:val="00271169"/>
    <w:rsid w:val="00272E0D"/>
    <w:rsid w:val="00290998"/>
    <w:rsid w:val="002A49E9"/>
    <w:rsid w:val="002A6A93"/>
    <w:rsid w:val="002B163E"/>
    <w:rsid w:val="002B2FF6"/>
    <w:rsid w:val="002B6514"/>
    <w:rsid w:val="002C62D3"/>
    <w:rsid w:val="002C6CC1"/>
    <w:rsid w:val="002D085E"/>
    <w:rsid w:val="002D5E0E"/>
    <w:rsid w:val="002D7519"/>
    <w:rsid w:val="002E3196"/>
    <w:rsid w:val="002E6D28"/>
    <w:rsid w:val="002F1ED6"/>
    <w:rsid w:val="002F1F6F"/>
    <w:rsid w:val="002F28F0"/>
    <w:rsid w:val="002F329A"/>
    <w:rsid w:val="0030016B"/>
    <w:rsid w:val="00303356"/>
    <w:rsid w:val="00313DC3"/>
    <w:rsid w:val="003149C9"/>
    <w:rsid w:val="003162FE"/>
    <w:rsid w:val="00320F0D"/>
    <w:rsid w:val="00324EDE"/>
    <w:rsid w:val="003276C7"/>
    <w:rsid w:val="003343E7"/>
    <w:rsid w:val="00334F76"/>
    <w:rsid w:val="00340981"/>
    <w:rsid w:val="00344198"/>
    <w:rsid w:val="003443ED"/>
    <w:rsid w:val="00362706"/>
    <w:rsid w:val="00363ADB"/>
    <w:rsid w:val="0036621D"/>
    <w:rsid w:val="00367723"/>
    <w:rsid w:val="00367E7A"/>
    <w:rsid w:val="00370AA1"/>
    <w:rsid w:val="0037340E"/>
    <w:rsid w:val="00382900"/>
    <w:rsid w:val="00386F79"/>
    <w:rsid w:val="003920E5"/>
    <w:rsid w:val="00397EC7"/>
    <w:rsid w:val="003A0E5E"/>
    <w:rsid w:val="003B50C7"/>
    <w:rsid w:val="003C7B80"/>
    <w:rsid w:val="003D279C"/>
    <w:rsid w:val="003D7385"/>
    <w:rsid w:val="003D79F5"/>
    <w:rsid w:val="003E5118"/>
    <w:rsid w:val="003E5468"/>
    <w:rsid w:val="003E7C6E"/>
    <w:rsid w:val="003F3109"/>
    <w:rsid w:val="003F373F"/>
    <w:rsid w:val="003F3B0C"/>
    <w:rsid w:val="00400135"/>
    <w:rsid w:val="004079F5"/>
    <w:rsid w:val="004230E4"/>
    <w:rsid w:val="00427235"/>
    <w:rsid w:val="004336A8"/>
    <w:rsid w:val="0043507E"/>
    <w:rsid w:val="0043706D"/>
    <w:rsid w:val="00445A0F"/>
    <w:rsid w:val="00451C90"/>
    <w:rsid w:val="00451ECB"/>
    <w:rsid w:val="00453D84"/>
    <w:rsid w:val="0045784E"/>
    <w:rsid w:val="00460257"/>
    <w:rsid w:val="00461142"/>
    <w:rsid w:val="004669EB"/>
    <w:rsid w:val="00466FA7"/>
    <w:rsid w:val="00467B07"/>
    <w:rsid w:val="004758A5"/>
    <w:rsid w:val="00480BD4"/>
    <w:rsid w:val="00483905"/>
    <w:rsid w:val="00492611"/>
    <w:rsid w:val="0049583B"/>
    <w:rsid w:val="004B3C14"/>
    <w:rsid w:val="004B77A5"/>
    <w:rsid w:val="004C0BCB"/>
    <w:rsid w:val="004C3066"/>
    <w:rsid w:val="004C47DC"/>
    <w:rsid w:val="004C7A5C"/>
    <w:rsid w:val="004D7C63"/>
    <w:rsid w:val="004F582C"/>
    <w:rsid w:val="004F757A"/>
    <w:rsid w:val="00501DCD"/>
    <w:rsid w:val="00503179"/>
    <w:rsid w:val="005049B1"/>
    <w:rsid w:val="005054CA"/>
    <w:rsid w:val="00506989"/>
    <w:rsid w:val="00517B24"/>
    <w:rsid w:val="00526CA6"/>
    <w:rsid w:val="005278F7"/>
    <w:rsid w:val="00527B8C"/>
    <w:rsid w:val="005350CB"/>
    <w:rsid w:val="00546333"/>
    <w:rsid w:val="00553066"/>
    <w:rsid w:val="00557B89"/>
    <w:rsid w:val="00560239"/>
    <w:rsid w:val="00561806"/>
    <w:rsid w:val="00564E03"/>
    <w:rsid w:val="005716FA"/>
    <w:rsid w:val="00573BA9"/>
    <w:rsid w:val="005746FA"/>
    <w:rsid w:val="005751A0"/>
    <w:rsid w:val="00575E33"/>
    <w:rsid w:val="00582010"/>
    <w:rsid w:val="00587AB0"/>
    <w:rsid w:val="00592EFA"/>
    <w:rsid w:val="00593C71"/>
    <w:rsid w:val="005A3347"/>
    <w:rsid w:val="005A346E"/>
    <w:rsid w:val="005B0205"/>
    <w:rsid w:val="005B4358"/>
    <w:rsid w:val="005D67AA"/>
    <w:rsid w:val="005E47E8"/>
    <w:rsid w:val="005E7F61"/>
    <w:rsid w:val="005F2AD4"/>
    <w:rsid w:val="005F7443"/>
    <w:rsid w:val="005F76EB"/>
    <w:rsid w:val="0061515F"/>
    <w:rsid w:val="00621118"/>
    <w:rsid w:val="00621A48"/>
    <w:rsid w:val="00621E48"/>
    <w:rsid w:val="0063696A"/>
    <w:rsid w:val="0064643B"/>
    <w:rsid w:val="00655C10"/>
    <w:rsid w:val="00660DDE"/>
    <w:rsid w:val="006676C7"/>
    <w:rsid w:val="006741D0"/>
    <w:rsid w:val="00677558"/>
    <w:rsid w:val="006820CF"/>
    <w:rsid w:val="00687031"/>
    <w:rsid w:val="006959A9"/>
    <w:rsid w:val="006B12B4"/>
    <w:rsid w:val="006C386B"/>
    <w:rsid w:val="006C72C6"/>
    <w:rsid w:val="006C7A8D"/>
    <w:rsid w:val="006C7D10"/>
    <w:rsid w:val="006D0B06"/>
    <w:rsid w:val="006D2C31"/>
    <w:rsid w:val="006D60E0"/>
    <w:rsid w:val="006F21A3"/>
    <w:rsid w:val="006F355B"/>
    <w:rsid w:val="006F3DD8"/>
    <w:rsid w:val="006F50BF"/>
    <w:rsid w:val="006F7FC1"/>
    <w:rsid w:val="00702F99"/>
    <w:rsid w:val="007035A0"/>
    <w:rsid w:val="00704543"/>
    <w:rsid w:val="00706BBE"/>
    <w:rsid w:val="00712632"/>
    <w:rsid w:val="00713851"/>
    <w:rsid w:val="007417BF"/>
    <w:rsid w:val="007429DE"/>
    <w:rsid w:val="0074530D"/>
    <w:rsid w:val="00754BF0"/>
    <w:rsid w:val="007650B5"/>
    <w:rsid w:val="0077133A"/>
    <w:rsid w:val="00771834"/>
    <w:rsid w:val="00776CAF"/>
    <w:rsid w:val="007778D1"/>
    <w:rsid w:val="00791672"/>
    <w:rsid w:val="007965BD"/>
    <w:rsid w:val="007B7B05"/>
    <w:rsid w:val="007C088D"/>
    <w:rsid w:val="007C0F42"/>
    <w:rsid w:val="007C3D1C"/>
    <w:rsid w:val="007C3F56"/>
    <w:rsid w:val="007D4DBA"/>
    <w:rsid w:val="007F06A7"/>
    <w:rsid w:val="007F08E9"/>
    <w:rsid w:val="007F13FD"/>
    <w:rsid w:val="007F394C"/>
    <w:rsid w:val="007F3A10"/>
    <w:rsid w:val="007F44D4"/>
    <w:rsid w:val="00811A08"/>
    <w:rsid w:val="008133F1"/>
    <w:rsid w:val="00815DBB"/>
    <w:rsid w:val="00823DBF"/>
    <w:rsid w:val="00823E27"/>
    <w:rsid w:val="00836EA2"/>
    <w:rsid w:val="00840D95"/>
    <w:rsid w:val="00844637"/>
    <w:rsid w:val="00847AD2"/>
    <w:rsid w:val="00850CD6"/>
    <w:rsid w:val="00851E64"/>
    <w:rsid w:val="00851FF5"/>
    <w:rsid w:val="00861E70"/>
    <w:rsid w:val="00871DFF"/>
    <w:rsid w:val="008806AC"/>
    <w:rsid w:val="00893948"/>
    <w:rsid w:val="008940D0"/>
    <w:rsid w:val="00894D0E"/>
    <w:rsid w:val="008A2281"/>
    <w:rsid w:val="008A7E0B"/>
    <w:rsid w:val="008C0498"/>
    <w:rsid w:val="008C1107"/>
    <w:rsid w:val="008C597F"/>
    <w:rsid w:val="008C6223"/>
    <w:rsid w:val="008D1610"/>
    <w:rsid w:val="008D7B12"/>
    <w:rsid w:val="008E1DF2"/>
    <w:rsid w:val="008E22A4"/>
    <w:rsid w:val="008F0EC8"/>
    <w:rsid w:val="00901E61"/>
    <w:rsid w:val="00906381"/>
    <w:rsid w:val="00912059"/>
    <w:rsid w:val="00912420"/>
    <w:rsid w:val="00912F44"/>
    <w:rsid w:val="00915BB0"/>
    <w:rsid w:val="009215AF"/>
    <w:rsid w:val="0092429E"/>
    <w:rsid w:val="00927A3F"/>
    <w:rsid w:val="009373BF"/>
    <w:rsid w:val="00944830"/>
    <w:rsid w:val="00946529"/>
    <w:rsid w:val="00946DF6"/>
    <w:rsid w:val="009475B7"/>
    <w:rsid w:val="009510BD"/>
    <w:rsid w:val="009548D4"/>
    <w:rsid w:val="00956799"/>
    <w:rsid w:val="009620E9"/>
    <w:rsid w:val="00962347"/>
    <w:rsid w:val="00963D6A"/>
    <w:rsid w:val="00964AFE"/>
    <w:rsid w:val="00965295"/>
    <w:rsid w:val="00967887"/>
    <w:rsid w:val="00980229"/>
    <w:rsid w:val="00986EA6"/>
    <w:rsid w:val="009A2E34"/>
    <w:rsid w:val="009B0956"/>
    <w:rsid w:val="009B45C8"/>
    <w:rsid w:val="009B5EAB"/>
    <w:rsid w:val="009B75E6"/>
    <w:rsid w:val="009C0189"/>
    <w:rsid w:val="009C2365"/>
    <w:rsid w:val="009C3050"/>
    <w:rsid w:val="009C3330"/>
    <w:rsid w:val="009C5421"/>
    <w:rsid w:val="009C579C"/>
    <w:rsid w:val="009D0309"/>
    <w:rsid w:val="009D14B4"/>
    <w:rsid w:val="009F1017"/>
    <w:rsid w:val="009F253C"/>
    <w:rsid w:val="009F46BC"/>
    <w:rsid w:val="009F479A"/>
    <w:rsid w:val="00A15A72"/>
    <w:rsid w:val="00A26F63"/>
    <w:rsid w:val="00A31B24"/>
    <w:rsid w:val="00A4015F"/>
    <w:rsid w:val="00A40D80"/>
    <w:rsid w:val="00A412D4"/>
    <w:rsid w:val="00A44CED"/>
    <w:rsid w:val="00A46BB0"/>
    <w:rsid w:val="00A53D4D"/>
    <w:rsid w:val="00A5545A"/>
    <w:rsid w:val="00A60826"/>
    <w:rsid w:val="00A60C60"/>
    <w:rsid w:val="00A623B0"/>
    <w:rsid w:val="00A6573C"/>
    <w:rsid w:val="00A67F02"/>
    <w:rsid w:val="00A71326"/>
    <w:rsid w:val="00A72E76"/>
    <w:rsid w:val="00A856A5"/>
    <w:rsid w:val="00A85A33"/>
    <w:rsid w:val="00A8773A"/>
    <w:rsid w:val="00AA0EE1"/>
    <w:rsid w:val="00AA17B7"/>
    <w:rsid w:val="00AA488E"/>
    <w:rsid w:val="00AB112B"/>
    <w:rsid w:val="00AB5293"/>
    <w:rsid w:val="00AB5F6D"/>
    <w:rsid w:val="00AB74A0"/>
    <w:rsid w:val="00AC0F1A"/>
    <w:rsid w:val="00AC2738"/>
    <w:rsid w:val="00AC3F61"/>
    <w:rsid w:val="00AC4FCF"/>
    <w:rsid w:val="00AD0A60"/>
    <w:rsid w:val="00AD20F8"/>
    <w:rsid w:val="00AD2945"/>
    <w:rsid w:val="00AD42D7"/>
    <w:rsid w:val="00AD7E59"/>
    <w:rsid w:val="00AE4310"/>
    <w:rsid w:val="00AE59ED"/>
    <w:rsid w:val="00AE6778"/>
    <w:rsid w:val="00AF16CD"/>
    <w:rsid w:val="00AF180C"/>
    <w:rsid w:val="00AF566C"/>
    <w:rsid w:val="00AF74A0"/>
    <w:rsid w:val="00B02165"/>
    <w:rsid w:val="00B11806"/>
    <w:rsid w:val="00B139BC"/>
    <w:rsid w:val="00B13DC5"/>
    <w:rsid w:val="00B14E8C"/>
    <w:rsid w:val="00B15C1B"/>
    <w:rsid w:val="00B15CD0"/>
    <w:rsid w:val="00B165D2"/>
    <w:rsid w:val="00B23650"/>
    <w:rsid w:val="00B26424"/>
    <w:rsid w:val="00B35887"/>
    <w:rsid w:val="00B427F4"/>
    <w:rsid w:val="00B570FD"/>
    <w:rsid w:val="00B615C4"/>
    <w:rsid w:val="00B644AD"/>
    <w:rsid w:val="00B662B1"/>
    <w:rsid w:val="00B84C9C"/>
    <w:rsid w:val="00B93A45"/>
    <w:rsid w:val="00B96AC0"/>
    <w:rsid w:val="00B97D52"/>
    <w:rsid w:val="00BA33B4"/>
    <w:rsid w:val="00BA43EE"/>
    <w:rsid w:val="00BA648E"/>
    <w:rsid w:val="00BB0183"/>
    <w:rsid w:val="00BB1023"/>
    <w:rsid w:val="00BB10BC"/>
    <w:rsid w:val="00BB294B"/>
    <w:rsid w:val="00BB6E2F"/>
    <w:rsid w:val="00BC1A40"/>
    <w:rsid w:val="00BC2A6B"/>
    <w:rsid w:val="00BC4F4F"/>
    <w:rsid w:val="00BE1007"/>
    <w:rsid w:val="00BE1030"/>
    <w:rsid w:val="00BE4035"/>
    <w:rsid w:val="00BE43B4"/>
    <w:rsid w:val="00BF1665"/>
    <w:rsid w:val="00BF4621"/>
    <w:rsid w:val="00C07401"/>
    <w:rsid w:val="00C11B97"/>
    <w:rsid w:val="00C20EEC"/>
    <w:rsid w:val="00C22480"/>
    <w:rsid w:val="00C27766"/>
    <w:rsid w:val="00C300FD"/>
    <w:rsid w:val="00C34F49"/>
    <w:rsid w:val="00C35FB1"/>
    <w:rsid w:val="00C405F4"/>
    <w:rsid w:val="00C422CA"/>
    <w:rsid w:val="00C46CFB"/>
    <w:rsid w:val="00C50596"/>
    <w:rsid w:val="00C54ABA"/>
    <w:rsid w:val="00C57FB2"/>
    <w:rsid w:val="00C613A5"/>
    <w:rsid w:val="00C648CE"/>
    <w:rsid w:val="00C70C11"/>
    <w:rsid w:val="00C740A1"/>
    <w:rsid w:val="00C7422C"/>
    <w:rsid w:val="00C75187"/>
    <w:rsid w:val="00C75C37"/>
    <w:rsid w:val="00CB03D8"/>
    <w:rsid w:val="00CB3926"/>
    <w:rsid w:val="00CB59CA"/>
    <w:rsid w:val="00CC1B61"/>
    <w:rsid w:val="00CC209E"/>
    <w:rsid w:val="00CC292D"/>
    <w:rsid w:val="00CC46B6"/>
    <w:rsid w:val="00CC5FD2"/>
    <w:rsid w:val="00CD3C7D"/>
    <w:rsid w:val="00CD75A9"/>
    <w:rsid w:val="00CE157C"/>
    <w:rsid w:val="00CE29E7"/>
    <w:rsid w:val="00CE3BDE"/>
    <w:rsid w:val="00CF3F19"/>
    <w:rsid w:val="00CF5115"/>
    <w:rsid w:val="00CF5BAD"/>
    <w:rsid w:val="00CF70A5"/>
    <w:rsid w:val="00D02106"/>
    <w:rsid w:val="00D10920"/>
    <w:rsid w:val="00D1267D"/>
    <w:rsid w:val="00D17AB2"/>
    <w:rsid w:val="00D215D8"/>
    <w:rsid w:val="00D22E7E"/>
    <w:rsid w:val="00D24A34"/>
    <w:rsid w:val="00D47286"/>
    <w:rsid w:val="00D50C3E"/>
    <w:rsid w:val="00D54F78"/>
    <w:rsid w:val="00D616CB"/>
    <w:rsid w:val="00D61BA9"/>
    <w:rsid w:val="00D64495"/>
    <w:rsid w:val="00D6449F"/>
    <w:rsid w:val="00D66CD0"/>
    <w:rsid w:val="00D72DEB"/>
    <w:rsid w:val="00D76113"/>
    <w:rsid w:val="00D77FEC"/>
    <w:rsid w:val="00D81BB9"/>
    <w:rsid w:val="00D863C4"/>
    <w:rsid w:val="00D869B8"/>
    <w:rsid w:val="00D92169"/>
    <w:rsid w:val="00D93D2D"/>
    <w:rsid w:val="00D94DE6"/>
    <w:rsid w:val="00DA7D44"/>
    <w:rsid w:val="00DB317D"/>
    <w:rsid w:val="00DC7B9A"/>
    <w:rsid w:val="00DE410B"/>
    <w:rsid w:val="00DE44A1"/>
    <w:rsid w:val="00DE7E04"/>
    <w:rsid w:val="00E038AC"/>
    <w:rsid w:val="00E063F8"/>
    <w:rsid w:val="00E0748C"/>
    <w:rsid w:val="00E126C7"/>
    <w:rsid w:val="00E22350"/>
    <w:rsid w:val="00E30348"/>
    <w:rsid w:val="00E304BD"/>
    <w:rsid w:val="00E4195A"/>
    <w:rsid w:val="00E4456A"/>
    <w:rsid w:val="00E448E3"/>
    <w:rsid w:val="00E57675"/>
    <w:rsid w:val="00E632DD"/>
    <w:rsid w:val="00E63AB2"/>
    <w:rsid w:val="00E657AF"/>
    <w:rsid w:val="00E718C1"/>
    <w:rsid w:val="00E73E90"/>
    <w:rsid w:val="00E73FF8"/>
    <w:rsid w:val="00E82C8A"/>
    <w:rsid w:val="00E8403F"/>
    <w:rsid w:val="00EA1C21"/>
    <w:rsid w:val="00EA33BF"/>
    <w:rsid w:val="00EB50A2"/>
    <w:rsid w:val="00EC4BFD"/>
    <w:rsid w:val="00EF0AD8"/>
    <w:rsid w:val="00EF0DFF"/>
    <w:rsid w:val="00EF3648"/>
    <w:rsid w:val="00EF3948"/>
    <w:rsid w:val="00F00743"/>
    <w:rsid w:val="00F03B81"/>
    <w:rsid w:val="00F04EDF"/>
    <w:rsid w:val="00F0691F"/>
    <w:rsid w:val="00F10AF3"/>
    <w:rsid w:val="00F15659"/>
    <w:rsid w:val="00F2127E"/>
    <w:rsid w:val="00F21B74"/>
    <w:rsid w:val="00F21E2A"/>
    <w:rsid w:val="00F233E1"/>
    <w:rsid w:val="00F42B05"/>
    <w:rsid w:val="00F43A23"/>
    <w:rsid w:val="00F64C2F"/>
    <w:rsid w:val="00F67A72"/>
    <w:rsid w:val="00F709A8"/>
    <w:rsid w:val="00F7628B"/>
    <w:rsid w:val="00F76C54"/>
    <w:rsid w:val="00F83A58"/>
    <w:rsid w:val="00F85F24"/>
    <w:rsid w:val="00F86EA5"/>
    <w:rsid w:val="00F9128B"/>
    <w:rsid w:val="00F931B1"/>
    <w:rsid w:val="00F94D79"/>
    <w:rsid w:val="00FA27B8"/>
    <w:rsid w:val="00FA4551"/>
    <w:rsid w:val="00FB207C"/>
    <w:rsid w:val="00FB2326"/>
    <w:rsid w:val="00FC45EF"/>
    <w:rsid w:val="00FC7E79"/>
    <w:rsid w:val="00FD1E9A"/>
    <w:rsid w:val="00FD4564"/>
    <w:rsid w:val="00FE5DFD"/>
    <w:rsid w:val="00FE66BE"/>
    <w:rsid w:val="00FE71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30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135"/>
    <w:rPr>
      <w:rFonts w:ascii="Times New Roman" w:eastAsia="SimSun" w:hAnsi="Times New Roman" w:cs="Times New Roman"/>
      <w:kern w:val="0"/>
      <w:sz w:val="20"/>
      <w:szCs w:val="20"/>
      <w:lang w:val="en-GB" w:eastAsia="en-US"/>
    </w:rPr>
  </w:style>
  <w:style w:type="paragraph" w:styleId="2">
    <w:name w:val="heading 2"/>
    <w:basedOn w:val="a"/>
    <w:next w:val="a"/>
    <w:link w:val="20"/>
    <w:uiPriority w:val="9"/>
    <w:unhideWhenUsed/>
    <w:qFormat/>
    <w:rsid w:val="004C0BC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a4"/>
    <w:uiPriority w:val="34"/>
    <w:qFormat/>
    <w:rsid w:val="00AF180C"/>
    <w:pPr>
      <w:ind w:leftChars="400" w:left="840"/>
    </w:pPr>
  </w:style>
  <w:style w:type="paragraph" w:customStyle="1" w:styleId="CRCoverPage">
    <w:name w:val="CR Cover Page"/>
    <w:link w:val="CRCoverPageChar"/>
    <w:rsid w:val="00400135"/>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00135"/>
    <w:rPr>
      <w:rFonts w:ascii="Arial" w:eastAsia="Times New Roman"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400135"/>
    <w:pPr>
      <w:tabs>
        <w:tab w:val="center" w:pos="4252"/>
        <w:tab w:val="right" w:pos="8504"/>
      </w:tabs>
      <w:snapToGrid w:val="0"/>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400135"/>
    <w:rPr>
      <w:rFonts w:ascii="Times New Roman" w:eastAsia="SimSun" w:hAnsi="Times New Roman" w:cs="Times New Roman"/>
      <w:kern w:val="0"/>
      <w:sz w:val="20"/>
      <w:szCs w:val="20"/>
      <w:lang w:val="en-GB" w:eastAsia="en-US"/>
    </w:rPr>
  </w:style>
  <w:style w:type="paragraph" w:styleId="a7">
    <w:name w:val="caption"/>
    <w:basedOn w:val="a"/>
    <w:next w:val="a"/>
    <w:uiPriority w:val="35"/>
    <w:unhideWhenUsed/>
    <w:qFormat/>
    <w:rsid w:val="00400135"/>
    <w:rPr>
      <w:b/>
      <w:bCs/>
      <w:sz w:val="21"/>
      <w:szCs w:val="21"/>
    </w:rPr>
  </w:style>
  <w:style w:type="character" w:customStyle="1" w:styleId="a4">
    <w:name w:val="リスト段落 (文字)"/>
    <w:aliases w:val="- Bullets (文字),목록 단락 (文字)"/>
    <w:link w:val="a3"/>
    <w:uiPriority w:val="34"/>
    <w:qFormat/>
    <w:rsid w:val="00400135"/>
  </w:style>
  <w:style w:type="paragraph" w:styleId="a8">
    <w:name w:val="Balloon Text"/>
    <w:basedOn w:val="a"/>
    <w:link w:val="a9"/>
    <w:uiPriority w:val="99"/>
    <w:semiHidden/>
    <w:unhideWhenUsed/>
    <w:rsid w:val="004758A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758A5"/>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AA0EE1"/>
    <w:pPr>
      <w:tabs>
        <w:tab w:val="center" w:pos="4252"/>
        <w:tab w:val="right" w:pos="8504"/>
      </w:tabs>
      <w:snapToGrid w:val="0"/>
    </w:pPr>
  </w:style>
  <w:style w:type="character" w:customStyle="1" w:styleId="ab">
    <w:name w:val="フッター (文字)"/>
    <w:basedOn w:val="a0"/>
    <w:link w:val="aa"/>
    <w:uiPriority w:val="99"/>
    <w:rsid w:val="00AA0EE1"/>
    <w:rPr>
      <w:rFonts w:ascii="Times New Roman" w:eastAsia="SimSun" w:hAnsi="Times New Roman" w:cs="Times New Roman"/>
      <w:kern w:val="0"/>
      <w:sz w:val="20"/>
      <w:szCs w:val="20"/>
      <w:lang w:val="en-GB" w:eastAsia="en-US"/>
    </w:rPr>
  </w:style>
  <w:style w:type="paragraph" w:styleId="Web">
    <w:name w:val="Normal (Web)"/>
    <w:basedOn w:val="a"/>
    <w:uiPriority w:val="99"/>
    <w:semiHidden/>
    <w:unhideWhenUsed/>
    <w:rsid w:val="00D863C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c">
    <w:name w:val="Table Grid"/>
    <w:basedOn w:val="a1"/>
    <w:uiPriority w:val="59"/>
    <w:rsid w:val="003D2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34F49"/>
    <w:rPr>
      <w:sz w:val="18"/>
      <w:szCs w:val="18"/>
    </w:rPr>
  </w:style>
  <w:style w:type="paragraph" w:styleId="ae">
    <w:name w:val="annotation text"/>
    <w:basedOn w:val="a"/>
    <w:link w:val="af"/>
    <w:uiPriority w:val="99"/>
    <w:semiHidden/>
    <w:unhideWhenUsed/>
    <w:rsid w:val="00C34F49"/>
  </w:style>
  <w:style w:type="character" w:customStyle="1" w:styleId="af">
    <w:name w:val="コメント文字列 (文字)"/>
    <w:basedOn w:val="a0"/>
    <w:link w:val="ae"/>
    <w:uiPriority w:val="99"/>
    <w:semiHidden/>
    <w:rsid w:val="00C34F49"/>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C34F49"/>
    <w:rPr>
      <w:b/>
      <w:bCs/>
    </w:rPr>
  </w:style>
  <w:style w:type="character" w:customStyle="1" w:styleId="af1">
    <w:name w:val="コメント内容 (文字)"/>
    <w:basedOn w:val="af"/>
    <w:link w:val="af0"/>
    <w:uiPriority w:val="99"/>
    <w:semiHidden/>
    <w:rsid w:val="00C34F49"/>
    <w:rPr>
      <w:rFonts w:ascii="Times New Roman" w:eastAsia="SimSun" w:hAnsi="Times New Roman" w:cs="Times New Roman"/>
      <w:b/>
      <w:bCs/>
      <w:kern w:val="0"/>
      <w:sz w:val="20"/>
      <w:szCs w:val="20"/>
      <w:lang w:val="en-GB" w:eastAsia="en-US"/>
    </w:rPr>
  </w:style>
  <w:style w:type="character" w:customStyle="1" w:styleId="20">
    <w:name w:val="見出し 2 (文字)"/>
    <w:basedOn w:val="a0"/>
    <w:link w:val="2"/>
    <w:uiPriority w:val="9"/>
    <w:rsid w:val="004C0BCB"/>
    <w:rPr>
      <w:rFonts w:asciiTheme="majorHAnsi" w:eastAsiaTheme="majorEastAsia" w:hAnsiTheme="majorHAnsi" w:cstheme="majorBidi"/>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135"/>
    <w:rPr>
      <w:rFonts w:ascii="Times New Roman" w:eastAsia="SimSun" w:hAnsi="Times New Roman" w:cs="Times New Roman"/>
      <w:kern w:val="0"/>
      <w:sz w:val="20"/>
      <w:szCs w:val="20"/>
      <w:lang w:val="en-GB" w:eastAsia="en-US"/>
    </w:rPr>
  </w:style>
  <w:style w:type="paragraph" w:styleId="2">
    <w:name w:val="heading 2"/>
    <w:basedOn w:val="a"/>
    <w:next w:val="a"/>
    <w:link w:val="20"/>
    <w:uiPriority w:val="9"/>
    <w:unhideWhenUsed/>
    <w:qFormat/>
    <w:rsid w:val="004C0BC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a4"/>
    <w:uiPriority w:val="34"/>
    <w:qFormat/>
    <w:rsid w:val="00AF180C"/>
    <w:pPr>
      <w:ind w:leftChars="400" w:left="840"/>
    </w:pPr>
  </w:style>
  <w:style w:type="paragraph" w:customStyle="1" w:styleId="CRCoverPage">
    <w:name w:val="CR Cover Page"/>
    <w:link w:val="CRCoverPageChar"/>
    <w:rsid w:val="00400135"/>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00135"/>
    <w:rPr>
      <w:rFonts w:ascii="Arial" w:eastAsia="Times New Roman"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400135"/>
    <w:pPr>
      <w:tabs>
        <w:tab w:val="center" w:pos="4252"/>
        <w:tab w:val="right" w:pos="8504"/>
      </w:tabs>
      <w:snapToGrid w:val="0"/>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400135"/>
    <w:rPr>
      <w:rFonts w:ascii="Times New Roman" w:eastAsia="SimSun" w:hAnsi="Times New Roman" w:cs="Times New Roman"/>
      <w:kern w:val="0"/>
      <w:sz w:val="20"/>
      <w:szCs w:val="20"/>
      <w:lang w:val="en-GB" w:eastAsia="en-US"/>
    </w:rPr>
  </w:style>
  <w:style w:type="paragraph" w:styleId="a7">
    <w:name w:val="caption"/>
    <w:basedOn w:val="a"/>
    <w:next w:val="a"/>
    <w:uiPriority w:val="35"/>
    <w:unhideWhenUsed/>
    <w:qFormat/>
    <w:rsid w:val="00400135"/>
    <w:rPr>
      <w:b/>
      <w:bCs/>
      <w:sz w:val="21"/>
      <w:szCs w:val="21"/>
    </w:rPr>
  </w:style>
  <w:style w:type="character" w:customStyle="1" w:styleId="a4">
    <w:name w:val="リスト段落 (文字)"/>
    <w:aliases w:val="- Bullets (文字),목록 단락 (文字)"/>
    <w:link w:val="a3"/>
    <w:uiPriority w:val="34"/>
    <w:qFormat/>
    <w:rsid w:val="00400135"/>
  </w:style>
  <w:style w:type="paragraph" w:styleId="a8">
    <w:name w:val="Balloon Text"/>
    <w:basedOn w:val="a"/>
    <w:link w:val="a9"/>
    <w:uiPriority w:val="99"/>
    <w:semiHidden/>
    <w:unhideWhenUsed/>
    <w:rsid w:val="004758A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758A5"/>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AA0EE1"/>
    <w:pPr>
      <w:tabs>
        <w:tab w:val="center" w:pos="4252"/>
        <w:tab w:val="right" w:pos="8504"/>
      </w:tabs>
      <w:snapToGrid w:val="0"/>
    </w:pPr>
  </w:style>
  <w:style w:type="character" w:customStyle="1" w:styleId="ab">
    <w:name w:val="フッター (文字)"/>
    <w:basedOn w:val="a0"/>
    <w:link w:val="aa"/>
    <w:uiPriority w:val="99"/>
    <w:rsid w:val="00AA0EE1"/>
    <w:rPr>
      <w:rFonts w:ascii="Times New Roman" w:eastAsia="SimSun" w:hAnsi="Times New Roman" w:cs="Times New Roman"/>
      <w:kern w:val="0"/>
      <w:sz w:val="20"/>
      <w:szCs w:val="20"/>
      <w:lang w:val="en-GB" w:eastAsia="en-US"/>
    </w:rPr>
  </w:style>
  <w:style w:type="paragraph" w:styleId="Web">
    <w:name w:val="Normal (Web)"/>
    <w:basedOn w:val="a"/>
    <w:uiPriority w:val="99"/>
    <w:semiHidden/>
    <w:unhideWhenUsed/>
    <w:rsid w:val="00D863C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c">
    <w:name w:val="Table Grid"/>
    <w:basedOn w:val="a1"/>
    <w:uiPriority w:val="59"/>
    <w:rsid w:val="003D2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34F49"/>
    <w:rPr>
      <w:sz w:val="18"/>
      <w:szCs w:val="18"/>
    </w:rPr>
  </w:style>
  <w:style w:type="paragraph" w:styleId="ae">
    <w:name w:val="annotation text"/>
    <w:basedOn w:val="a"/>
    <w:link w:val="af"/>
    <w:uiPriority w:val="99"/>
    <w:semiHidden/>
    <w:unhideWhenUsed/>
    <w:rsid w:val="00C34F49"/>
  </w:style>
  <w:style w:type="character" w:customStyle="1" w:styleId="af">
    <w:name w:val="コメント文字列 (文字)"/>
    <w:basedOn w:val="a0"/>
    <w:link w:val="ae"/>
    <w:uiPriority w:val="99"/>
    <w:semiHidden/>
    <w:rsid w:val="00C34F49"/>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C34F49"/>
    <w:rPr>
      <w:b/>
      <w:bCs/>
    </w:rPr>
  </w:style>
  <w:style w:type="character" w:customStyle="1" w:styleId="af1">
    <w:name w:val="コメント内容 (文字)"/>
    <w:basedOn w:val="af"/>
    <w:link w:val="af0"/>
    <w:uiPriority w:val="99"/>
    <w:semiHidden/>
    <w:rsid w:val="00C34F49"/>
    <w:rPr>
      <w:rFonts w:ascii="Times New Roman" w:eastAsia="SimSun" w:hAnsi="Times New Roman" w:cs="Times New Roman"/>
      <w:b/>
      <w:bCs/>
      <w:kern w:val="0"/>
      <w:sz w:val="20"/>
      <w:szCs w:val="20"/>
      <w:lang w:val="en-GB" w:eastAsia="en-US"/>
    </w:rPr>
  </w:style>
  <w:style w:type="character" w:customStyle="1" w:styleId="20">
    <w:name w:val="見出し 2 (文字)"/>
    <w:basedOn w:val="a0"/>
    <w:link w:val="2"/>
    <w:uiPriority w:val="9"/>
    <w:rsid w:val="004C0BCB"/>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1128">
      <w:bodyDiv w:val="1"/>
      <w:marLeft w:val="0"/>
      <w:marRight w:val="0"/>
      <w:marTop w:val="0"/>
      <w:marBottom w:val="0"/>
      <w:divBdr>
        <w:top w:val="none" w:sz="0" w:space="0" w:color="auto"/>
        <w:left w:val="none" w:sz="0" w:space="0" w:color="auto"/>
        <w:bottom w:val="none" w:sz="0" w:space="0" w:color="auto"/>
        <w:right w:val="none" w:sz="0" w:space="0" w:color="auto"/>
      </w:divBdr>
    </w:div>
    <w:div w:id="301663903">
      <w:bodyDiv w:val="1"/>
      <w:marLeft w:val="0"/>
      <w:marRight w:val="0"/>
      <w:marTop w:val="0"/>
      <w:marBottom w:val="0"/>
      <w:divBdr>
        <w:top w:val="none" w:sz="0" w:space="0" w:color="auto"/>
        <w:left w:val="none" w:sz="0" w:space="0" w:color="auto"/>
        <w:bottom w:val="none" w:sz="0" w:space="0" w:color="auto"/>
        <w:right w:val="none" w:sz="0" w:space="0" w:color="auto"/>
      </w:divBdr>
    </w:div>
    <w:div w:id="506797749">
      <w:bodyDiv w:val="1"/>
      <w:marLeft w:val="0"/>
      <w:marRight w:val="0"/>
      <w:marTop w:val="0"/>
      <w:marBottom w:val="0"/>
      <w:divBdr>
        <w:top w:val="none" w:sz="0" w:space="0" w:color="auto"/>
        <w:left w:val="none" w:sz="0" w:space="0" w:color="auto"/>
        <w:bottom w:val="none" w:sz="0" w:space="0" w:color="auto"/>
        <w:right w:val="none" w:sz="0" w:space="0" w:color="auto"/>
      </w:divBdr>
      <w:divsChild>
        <w:div w:id="1176918239">
          <w:marLeft w:val="446"/>
          <w:marRight w:val="0"/>
          <w:marTop w:val="0"/>
          <w:marBottom w:val="0"/>
          <w:divBdr>
            <w:top w:val="none" w:sz="0" w:space="0" w:color="auto"/>
            <w:left w:val="none" w:sz="0" w:space="0" w:color="auto"/>
            <w:bottom w:val="none" w:sz="0" w:space="0" w:color="auto"/>
            <w:right w:val="none" w:sz="0" w:space="0" w:color="auto"/>
          </w:divBdr>
        </w:div>
        <w:div w:id="1046835879">
          <w:marLeft w:val="1166"/>
          <w:marRight w:val="0"/>
          <w:marTop w:val="0"/>
          <w:marBottom w:val="0"/>
          <w:divBdr>
            <w:top w:val="none" w:sz="0" w:space="0" w:color="auto"/>
            <w:left w:val="none" w:sz="0" w:space="0" w:color="auto"/>
            <w:bottom w:val="none" w:sz="0" w:space="0" w:color="auto"/>
            <w:right w:val="none" w:sz="0" w:space="0" w:color="auto"/>
          </w:divBdr>
        </w:div>
        <w:div w:id="830754384">
          <w:marLeft w:val="1886"/>
          <w:marRight w:val="0"/>
          <w:marTop w:val="0"/>
          <w:marBottom w:val="0"/>
          <w:divBdr>
            <w:top w:val="none" w:sz="0" w:space="0" w:color="auto"/>
            <w:left w:val="none" w:sz="0" w:space="0" w:color="auto"/>
            <w:bottom w:val="none" w:sz="0" w:space="0" w:color="auto"/>
            <w:right w:val="none" w:sz="0" w:space="0" w:color="auto"/>
          </w:divBdr>
        </w:div>
        <w:div w:id="460541930">
          <w:marLeft w:val="2606"/>
          <w:marRight w:val="0"/>
          <w:marTop w:val="0"/>
          <w:marBottom w:val="0"/>
          <w:divBdr>
            <w:top w:val="none" w:sz="0" w:space="0" w:color="auto"/>
            <w:left w:val="none" w:sz="0" w:space="0" w:color="auto"/>
            <w:bottom w:val="none" w:sz="0" w:space="0" w:color="auto"/>
            <w:right w:val="none" w:sz="0" w:space="0" w:color="auto"/>
          </w:divBdr>
        </w:div>
        <w:div w:id="325675415">
          <w:marLeft w:val="1166"/>
          <w:marRight w:val="0"/>
          <w:marTop w:val="0"/>
          <w:marBottom w:val="0"/>
          <w:divBdr>
            <w:top w:val="none" w:sz="0" w:space="0" w:color="auto"/>
            <w:left w:val="none" w:sz="0" w:space="0" w:color="auto"/>
            <w:bottom w:val="none" w:sz="0" w:space="0" w:color="auto"/>
            <w:right w:val="none" w:sz="0" w:space="0" w:color="auto"/>
          </w:divBdr>
        </w:div>
        <w:div w:id="561867750">
          <w:marLeft w:val="1886"/>
          <w:marRight w:val="0"/>
          <w:marTop w:val="0"/>
          <w:marBottom w:val="0"/>
          <w:divBdr>
            <w:top w:val="none" w:sz="0" w:space="0" w:color="auto"/>
            <w:left w:val="none" w:sz="0" w:space="0" w:color="auto"/>
            <w:bottom w:val="none" w:sz="0" w:space="0" w:color="auto"/>
            <w:right w:val="none" w:sz="0" w:space="0" w:color="auto"/>
          </w:divBdr>
        </w:div>
        <w:div w:id="664286833">
          <w:marLeft w:val="1886"/>
          <w:marRight w:val="0"/>
          <w:marTop w:val="0"/>
          <w:marBottom w:val="0"/>
          <w:divBdr>
            <w:top w:val="none" w:sz="0" w:space="0" w:color="auto"/>
            <w:left w:val="none" w:sz="0" w:space="0" w:color="auto"/>
            <w:bottom w:val="none" w:sz="0" w:space="0" w:color="auto"/>
            <w:right w:val="none" w:sz="0" w:space="0" w:color="auto"/>
          </w:divBdr>
        </w:div>
        <w:div w:id="1334796520">
          <w:marLeft w:val="1166"/>
          <w:marRight w:val="0"/>
          <w:marTop w:val="0"/>
          <w:marBottom w:val="0"/>
          <w:divBdr>
            <w:top w:val="none" w:sz="0" w:space="0" w:color="auto"/>
            <w:left w:val="none" w:sz="0" w:space="0" w:color="auto"/>
            <w:bottom w:val="none" w:sz="0" w:space="0" w:color="auto"/>
            <w:right w:val="none" w:sz="0" w:space="0" w:color="auto"/>
          </w:divBdr>
        </w:div>
        <w:div w:id="1142649130">
          <w:marLeft w:val="1886"/>
          <w:marRight w:val="0"/>
          <w:marTop w:val="0"/>
          <w:marBottom w:val="0"/>
          <w:divBdr>
            <w:top w:val="none" w:sz="0" w:space="0" w:color="auto"/>
            <w:left w:val="none" w:sz="0" w:space="0" w:color="auto"/>
            <w:bottom w:val="none" w:sz="0" w:space="0" w:color="auto"/>
            <w:right w:val="none" w:sz="0" w:space="0" w:color="auto"/>
          </w:divBdr>
        </w:div>
        <w:div w:id="551354865">
          <w:marLeft w:val="446"/>
          <w:marRight w:val="0"/>
          <w:marTop w:val="0"/>
          <w:marBottom w:val="0"/>
          <w:divBdr>
            <w:top w:val="none" w:sz="0" w:space="0" w:color="auto"/>
            <w:left w:val="none" w:sz="0" w:space="0" w:color="auto"/>
            <w:bottom w:val="none" w:sz="0" w:space="0" w:color="auto"/>
            <w:right w:val="none" w:sz="0" w:space="0" w:color="auto"/>
          </w:divBdr>
        </w:div>
        <w:div w:id="1926181824">
          <w:marLeft w:val="1166"/>
          <w:marRight w:val="0"/>
          <w:marTop w:val="0"/>
          <w:marBottom w:val="0"/>
          <w:divBdr>
            <w:top w:val="none" w:sz="0" w:space="0" w:color="auto"/>
            <w:left w:val="none" w:sz="0" w:space="0" w:color="auto"/>
            <w:bottom w:val="none" w:sz="0" w:space="0" w:color="auto"/>
            <w:right w:val="none" w:sz="0" w:space="0" w:color="auto"/>
          </w:divBdr>
        </w:div>
        <w:div w:id="1392073392">
          <w:marLeft w:val="1886"/>
          <w:marRight w:val="0"/>
          <w:marTop w:val="0"/>
          <w:marBottom w:val="0"/>
          <w:divBdr>
            <w:top w:val="none" w:sz="0" w:space="0" w:color="auto"/>
            <w:left w:val="none" w:sz="0" w:space="0" w:color="auto"/>
            <w:bottom w:val="none" w:sz="0" w:space="0" w:color="auto"/>
            <w:right w:val="none" w:sz="0" w:space="0" w:color="auto"/>
          </w:divBdr>
        </w:div>
        <w:div w:id="971441483">
          <w:marLeft w:val="2606"/>
          <w:marRight w:val="0"/>
          <w:marTop w:val="0"/>
          <w:marBottom w:val="0"/>
          <w:divBdr>
            <w:top w:val="none" w:sz="0" w:space="0" w:color="auto"/>
            <w:left w:val="none" w:sz="0" w:space="0" w:color="auto"/>
            <w:bottom w:val="none" w:sz="0" w:space="0" w:color="auto"/>
            <w:right w:val="none" w:sz="0" w:space="0" w:color="auto"/>
          </w:divBdr>
        </w:div>
        <w:div w:id="1137996097">
          <w:marLeft w:val="1166"/>
          <w:marRight w:val="0"/>
          <w:marTop w:val="0"/>
          <w:marBottom w:val="0"/>
          <w:divBdr>
            <w:top w:val="none" w:sz="0" w:space="0" w:color="auto"/>
            <w:left w:val="none" w:sz="0" w:space="0" w:color="auto"/>
            <w:bottom w:val="none" w:sz="0" w:space="0" w:color="auto"/>
            <w:right w:val="none" w:sz="0" w:space="0" w:color="auto"/>
          </w:divBdr>
        </w:div>
        <w:div w:id="1850674365">
          <w:marLeft w:val="1886"/>
          <w:marRight w:val="0"/>
          <w:marTop w:val="0"/>
          <w:marBottom w:val="0"/>
          <w:divBdr>
            <w:top w:val="none" w:sz="0" w:space="0" w:color="auto"/>
            <w:left w:val="none" w:sz="0" w:space="0" w:color="auto"/>
            <w:bottom w:val="none" w:sz="0" w:space="0" w:color="auto"/>
            <w:right w:val="none" w:sz="0" w:space="0" w:color="auto"/>
          </w:divBdr>
        </w:div>
        <w:div w:id="218395712">
          <w:marLeft w:val="2606"/>
          <w:marRight w:val="0"/>
          <w:marTop w:val="0"/>
          <w:marBottom w:val="0"/>
          <w:divBdr>
            <w:top w:val="none" w:sz="0" w:space="0" w:color="auto"/>
            <w:left w:val="none" w:sz="0" w:space="0" w:color="auto"/>
            <w:bottom w:val="none" w:sz="0" w:space="0" w:color="auto"/>
            <w:right w:val="none" w:sz="0" w:space="0" w:color="auto"/>
          </w:divBdr>
        </w:div>
        <w:div w:id="1427195157">
          <w:marLeft w:val="2606"/>
          <w:marRight w:val="0"/>
          <w:marTop w:val="0"/>
          <w:marBottom w:val="0"/>
          <w:divBdr>
            <w:top w:val="none" w:sz="0" w:space="0" w:color="auto"/>
            <w:left w:val="none" w:sz="0" w:space="0" w:color="auto"/>
            <w:bottom w:val="none" w:sz="0" w:space="0" w:color="auto"/>
            <w:right w:val="none" w:sz="0" w:space="0" w:color="auto"/>
          </w:divBdr>
        </w:div>
        <w:div w:id="1363945483">
          <w:marLeft w:val="1166"/>
          <w:marRight w:val="0"/>
          <w:marTop w:val="0"/>
          <w:marBottom w:val="0"/>
          <w:divBdr>
            <w:top w:val="none" w:sz="0" w:space="0" w:color="auto"/>
            <w:left w:val="none" w:sz="0" w:space="0" w:color="auto"/>
            <w:bottom w:val="none" w:sz="0" w:space="0" w:color="auto"/>
            <w:right w:val="none" w:sz="0" w:space="0" w:color="auto"/>
          </w:divBdr>
        </w:div>
        <w:div w:id="519972210">
          <w:marLeft w:val="1886"/>
          <w:marRight w:val="0"/>
          <w:marTop w:val="0"/>
          <w:marBottom w:val="0"/>
          <w:divBdr>
            <w:top w:val="none" w:sz="0" w:space="0" w:color="auto"/>
            <w:left w:val="none" w:sz="0" w:space="0" w:color="auto"/>
            <w:bottom w:val="none" w:sz="0" w:space="0" w:color="auto"/>
            <w:right w:val="none" w:sz="0" w:space="0" w:color="auto"/>
          </w:divBdr>
        </w:div>
      </w:divsChild>
    </w:div>
    <w:div w:id="554707533">
      <w:bodyDiv w:val="1"/>
      <w:marLeft w:val="0"/>
      <w:marRight w:val="0"/>
      <w:marTop w:val="0"/>
      <w:marBottom w:val="0"/>
      <w:divBdr>
        <w:top w:val="none" w:sz="0" w:space="0" w:color="auto"/>
        <w:left w:val="none" w:sz="0" w:space="0" w:color="auto"/>
        <w:bottom w:val="none" w:sz="0" w:space="0" w:color="auto"/>
        <w:right w:val="none" w:sz="0" w:space="0" w:color="auto"/>
      </w:divBdr>
      <w:divsChild>
        <w:div w:id="921180124">
          <w:marLeft w:val="446"/>
          <w:marRight w:val="0"/>
          <w:marTop w:val="0"/>
          <w:marBottom w:val="0"/>
          <w:divBdr>
            <w:top w:val="none" w:sz="0" w:space="0" w:color="auto"/>
            <w:left w:val="none" w:sz="0" w:space="0" w:color="auto"/>
            <w:bottom w:val="none" w:sz="0" w:space="0" w:color="auto"/>
            <w:right w:val="none" w:sz="0" w:space="0" w:color="auto"/>
          </w:divBdr>
        </w:div>
        <w:div w:id="890307515">
          <w:marLeft w:val="446"/>
          <w:marRight w:val="0"/>
          <w:marTop w:val="0"/>
          <w:marBottom w:val="0"/>
          <w:divBdr>
            <w:top w:val="none" w:sz="0" w:space="0" w:color="auto"/>
            <w:left w:val="none" w:sz="0" w:space="0" w:color="auto"/>
            <w:bottom w:val="none" w:sz="0" w:space="0" w:color="auto"/>
            <w:right w:val="none" w:sz="0" w:space="0" w:color="auto"/>
          </w:divBdr>
        </w:div>
        <w:div w:id="1217936812">
          <w:marLeft w:val="1166"/>
          <w:marRight w:val="0"/>
          <w:marTop w:val="0"/>
          <w:marBottom w:val="0"/>
          <w:divBdr>
            <w:top w:val="none" w:sz="0" w:space="0" w:color="auto"/>
            <w:left w:val="none" w:sz="0" w:space="0" w:color="auto"/>
            <w:bottom w:val="none" w:sz="0" w:space="0" w:color="auto"/>
            <w:right w:val="none" w:sz="0" w:space="0" w:color="auto"/>
          </w:divBdr>
        </w:div>
        <w:div w:id="415055043">
          <w:marLeft w:val="446"/>
          <w:marRight w:val="0"/>
          <w:marTop w:val="0"/>
          <w:marBottom w:val="0"/>
          <w:divBdr>
            <w:top w:val="none" w:sz="0" w:space="0" w:color="auto"/>
            <w:left w:val="none" w:sz="0" w:space="0" w:color="auto"/>
            <w:bottom w:val="none" w:sz="0" w:space="0" w:color="auto"/>
            <w:right w:val="none" w:sz="0" w:space="0" w:color="auto"/>
          </w:divBdr>
        </w:div>
        <w:div w:id="796919264">
          <w:marLeft w:val="1166"/>
          <w:marRight w:val="0"/>
          <w:marTop w:val="0"/>
          <w:marBottom w:val="0"/>
          <w:divBdr>
            <w:top w:val="none" w:sz="0" w:space="0" w:color="auto"/>
            <w:left w:val="none" w:sz="0" w:space="0" w:color="auto"/>
            <w:bottom w:val="none" w:sz="0" w:space="0" w:color="auto"/>
            <w:right w:val="none" w:sz="0" w:space="0" w:color="auto"/>
          </w:divBdr>
        </w:div>
        <w:div w:id="646394393">
          <w:marLeft w:val="1886"/>
          <w:marRight w:val="0"/>
          <w:marTop w:val="0"/>
          <w:marBottom w:val="0"/>
          <w:divBdr>
            <w:top w:val="none" w:sz="0" w:space="0" w:color="auto"/>
            <w:left w:val="none" w:sz="0" w:space="0" w:color="auto"/>
            <w:bottom w:val="none" w:sz="0" w:space="0" w:color="auto"/>
            <w:right w:val="none" w:sz="0" w:space="0" w:color="auto"/>
          </w:divBdr>
        </w:div>
        <w:div w:id="1609854144">
          <w:marLeft w:val="1166"/>
          <w:marRight w:val="0"/>
          <w:marTop w:val="0"/>
          <w:marBottom w:val="0"/>
          <w:divBdr>
            <w:top w:val="none" w:sz="0" w:space="0" w:color="auto"/>
            <w:left w:val="none" w:sz="0" w:space="0" w:color="auto"/>
            <w:bottom w:val="none" w:sz="0" w:space="0" w:color="auto"/>
            <w:right w:val="none" w:sz="0" w:space="0" w:color="auto"/>
          </w:divBdr>
        </w:div>
      </w:divsChild>
    </w:div>
    <w:div w:id="569272048">
      <w:bodyDiv w:val="1"/>
      <w:marLeft w:val="0"/>
      <w:marRight w:val="0"/>
      <w:marTop w:val="0"/>
      <w:marBottom w:val="0"/>
      <w:divBdr>
        <w:top w:val="none" w:sz="0" w:space="0" w:color="auto"/>
        <w:left w:val="none" w:sz="0" w:space="0" w:color="auto"/>
        <w:bottom w:val="none" w:sz="0" w:space="0" w:color="auto"/>
        <w:right w:val="none" w:sz="0" w:space="0" w:color="auto"/>
      </w:divBdr>
      <w:divsChild>
        <w:div w:id="543567970">
          <w:marLeft w:val="446"/>
          <w:marRight w:val="0"/>
          <w:marTop w:val="0"/>
          <w:marBottom w:val="0"/>
          <w:divBdr>
            <w:top w:val="none" w:sz="0" w:space="0" w:color="auto"/>
            <w:left w:val="none" w:sz="0" w:space="0" w:color="auto"/>
            <w:bottom w:val="none" w:sz="0" w:space="0" w:color="auto"/>
            <w:right w:val="none" w:sz="0" w:space="0" w:color="auto"/>
          </w:divBdr>
        </w:div>
        <w:div w:id="957681546">
          <w:marLeft w:val="1267"/>
          <w:marRight w:val="0"/>
          <w:marTop w:val="0"/>
          <w:marBottom w:val="0"/>
          <w:divBdr>
            <w:top w:val="none" w:sz="0" w:space="0" w:color="auto"/>
            <w:left w:val="none" w:sz="0" w:space="0" w:color="auto"/>
            <w:bottom w:val="none" w:sz="0" w:space="0" w:color="auto"/>
            <w:right w:val="none" w:sz="0" w:space="0" w:color="auto"/>
          </w:divBdr>
        </w:div>
        <w:div w:id="1061440684">
          <w:marLeft w:val="1267"/>
          <w:marRight w:val="0"/>
          <w:marTop w:val="0"/>
          <w:marBottom w:val="0"/>
          <w:divBdr>
            <w:top w:val="none" w:sz="0" w:space="0" w:color="auto"/>
            <w:left w:val="none" w:sz="0" w:space="0" w:color="auto"/>
            <w:bottom w:val="none" w:sz="0" w:space="0" w:color="auto"/>
            <w:right w:val="none" w:sz="0" w:space="0" w:color="auto"/>
          </w:divBdr>
        </w:div>
        <w:div w:id="1100023904">
          <w:marLeft w:val="1886"/>
          <w:marRight w:val="0"/>
          <w:marTop w:val="0"/>
          <w:marBottom w:val="0"/>
          <w:divBdr>
            <w:top w:val="none" w:sz="0" w:space="0" w:color="auto"/>
            <w:left w:val="none" w:sz="0" w:space="0" w:color="auto"/>
            <w:bottom w:val="none" w:sz="0" w:space="0" w:color="auto"/>
            <w:right w:val="none" w:sz="0" w:space="0" w:color="auto"/>
          </w:divBdr>
        </w:div>
        <w:div w:id="780302457">
          <w:marLeft w:val="1886"/>
          <w:marRight w:val="0"/>
          <w:marTop w:val="0"/>
          <w:marBottom w:val="0"/>
          <w:divBdr>
            <w:top w:val="none" w:sz="0" w:space="0" w:color="auto"/>
            <w:left w:val="none" w:sz="0" w:space="0" w:color="auto"/>
            <w:bottom w:val="none" w:sz="0" w:space="0" w:color="auto"/>
            <w:right w:val="none" w:sz="0" w:space="0" w:color="auto"/>
          </w:divBdr>
        </w:div>
        <w:div w:id="1912766228">
          <w:marLeft w:val="1267"/>
          <w:marRight w:val="0"/>
          <w:marTop w:val="0"/>
          <w:marBottom w:val="0"/>
          <w:divBdr>
            <w:top w:val="none" w:sz="0" w:space="0" w:color="auto"/>
            <w:left w:val="none" w:sz="0" w:space="0" w:color="auto"/>
            <w:bottom w:val="none" w:sz="0" w:space="0" w:color="auto"/>
            <w:right w:val="none" w:sz="0" w:space="0" w:color="auto"/>
          </w:divBdr>
        </w:div>
        <w:div w:id="1888294062">
          <w:marLeft w:val="1886"/>
          <w:marRight w:val="0"/>
          <w:marTop w:val="0"/>
          <w:marBottom w:val="0"/>
          <w:divBdr>
            <w:top w:val="none" w:sz="0" w:space="0" w:color="auto"/>
            <w:left w:val="none" w:sz="0" w:space="0" w:color="auto"/>
            <w:bottom w:val="none" w:sz="0" w:space="0" w:color="auto"/>
            <w:right w:val="none" w:sz="0" w:space="0" w:color="auto"/>
          </w:divBdr>
        </w:div>
        <w:div w:id="897979146">
          <w:marLeft w:val="1886"/>
          <w:marRight w:val="0"/>
          <w:marTop w:val="0"/>
          <w:marBottom w:val="0"/>
          <w:divBdr>
            <w:top w:val="none" w:sz="0" w:space="0" w:color="auto"/>
            <w:left w:val="none" w:sz="0" w:space="0" w:color="auto"/>
            <w:bottom w:val="none" w:sz="0" w:space="0" w:color="auto"/>
            <w:right w:val="none" w:sz="0" w:space="0" w:color="auto"/>
          </w:divBdr>
        </w:div>
        <w:div w:id="828399723">
          <w:marLeft w:val="1267"/>
          <w:marRight w:val="0"/>
          <w:marTop w:val="0"/>
          <w:marBottom w:val="0"/>
          <w:divBdr>
            <w:top w:val="none" w:sz="0" w:space="0" w:color="auto"/>
            <w:left w:val="none" w:sz="0" w:space="0" w:color="auto"/>
            <w:bottom w:val="none" w:sz="0" w:space="0" w:color="auto"/>
            <w:right w:val="none" w:sz="0" w:space="0" w:color="auto"/>
          </w:divBdr>
        </w:div>
        <w:div w:id="1383821294">
          <w:marLeft w:val="1886"/>
          <w:marRight w:val="0"/>
          <w:marTop w:val="0"/>
          <w:marBottom w:val="0"/>
          <w:divBdr>
            <w:top w:val="none" w:sz="0" w:space="0" w:color="auto"/>
            <w:left w:val="none" w:sz="0" w:space="0" w:color="auto"/>
            <w:bottom w:val="none" w:sz="0" w:space="0" w:color="auto"/>
            <w:right w:val="none" w:sz="0" w:space="0" w:color="auto"/>
          </w:divBdr>
        </w:div>
        <w:div w:id="617642936">
          <w:marLeft w:val="1267"/>
          <w:marRight w:val="0"/>
          <w:marTop w:val="0"/>
          <w:marBottom w:val="0"/>
          <w:divBdr>
            <w:top w:val="none" w:sz="0" w:space="0" w:color="auto"/>
            <w:left w:val="none" w:sz="0" w:space="0" w:color="auto"/>
            <w:bottom w:val="none" w:sz="0" w:space="0" w:color="auto"/>
            <w:right w:val="none" w:sz="0" w:space="0" w:color="auto"/>
          </w:divBdr>
        </w:div>
        <w:div w:id="600187811">
          <w:marLeft w:val="446"/>
          <w:marRight w:val="0"/>
          <w:marTop w:val="0"/>
          <w:marBottom w:val="0"/>
          <w:divBdr>
            <w:top w:val="none" w:sz="0" w:space="0" w:color="auto"/>
            <w:left w:val="none" w:sz="0" w:space="0" w:color="auto"/>
            <w:bottom w:val="none" w:sz="0" w:space="0" w:color="auto"/>
            <w:right w:val="none" w:sz="0" w:space="0" w:color="auto"/>
          </w:divBdr>
        </w:div>
        <w:div w:id="344403029">
          <w:marLeft w:val="1166"/>
          <w:marRight w:val="0"/>
          <w:marTop w:val="0"/>
          <w:marBottom w:val="0"/>
          <w:divBdr>
            <w:top w:val="none" w:sz="0" w:space="0" w:color="auto"/>
            <w:left w:val="none" w:sz="0" w:space="0" w:color="auto"/>
            <w:bottom w:val="none" w:sz="0" w:space="0" w:color="auto"/>
            <w:right w:val="none" w:sz="0" w:space="0" w:color="auto"/>
          </w:divBdr>
        </w:div>
        <w:div w:id="1142040038">
          <w:marLeft w:val="1886"/>
          <w:marRight w:val="0"/>
          <w:marTop w:val="0"/>
          <w:marBottom w:val="0"/>
          <w:divBdr>
            <w:top w:val="none" w:sz="0" w:space="0" w:color="auto"/>
            <w:left w:val="none" w:sz="0" w:space="0" w:color="auto"/>
            <w:bottom w:val="none" w:sz="0" w:space="0" w:color="auto"/>
            <w:right w:val="none" w:sz="0" w:space="0" w:color="auto"/>
          </w:divBdr>
        </w:div>
        <w:div w:id="1253778847">
          <w:marLeft w:val="1886"/>
          <w:marRight w:val="0"/>
          <w:marTop w:val="0"/>
          <w:marBottom w:val="0"/>
          <w:divBdr>
            <w:top w:val="none" w:sz="0" w:space="0" w:color="auto"/>
            <w:left w:val="none" w:sz="0" w:space="0" w:color="auto"/>
            <w:bottom w:val="none" w:sz="0" w:space="0" w:color="auto"/>
            <w:right w:val="none" w:sz="0" w:space="0" w:color="auto"/>
          </w:divBdr>
        </w:div>
        <w:div w:id="1789857932">
          <w:marLeft w:val="1886"/>
          <w:marRight w:val="0"/>
          <w:marTop w:val="0"/>
          <w:marBottom w:val="0"/>
          <w:divBdr>
            <w:top w:val="none" w:sz="0" w:space="0" w:color="auto"/>
            <w:left w:val="none" w:sz="0" w:space="0" w:color="auto"/>
            <w:bottom w:val="none" w:sz="0" w:space="0" w:color="auto"/>
            <w:right w:val="none" w:sz="0" w:space="0" w:color="auto"/>
          </w:divBdr>
        </w:div>
        <w:div w:id="1403601428">
          <w:marLeft w:val="1166"/>
          <w:marRight w:val="0"/>
          <w:marTop w:val="0"/>
          <w:marBottom w:val="0"/>
          <w:divBdr>
            <w:top w:val="none" w:sz="0" w:space="0" w:color="auto"/>
            <w:left w:val="none" w:sz="0" w:space="0" w:color="auto"/>
            <w:bottom w:val="none" w:sz="0" w:space="0" w:color="auto"/>
            <w:right w:val="none" w:sz="0" w:space="0" w:color="auto"/>
          </w:divBdr>
        </w:div>
        <w:div w:id="665401122">
          <w:marLeft w:val="1886"/>
          <w:marRight w:val="0"/>
          <w:marTop w:val="0"/>
          <w:marBottom w:val="0"/>
          <w:divBdr>
            <w:top w:val="none" w:sz="0" w:space="0" w:color="auto"/>
            <w:left w:val="none" w:sz="0" w:space="0" w:color="auto"/>
            <w:bottom w:val="none" w:sz="0" w:space="0" w:color="auto"/>
            <w:right w:val="none" w:sz="0" w:space="0" w:color="auto"/>
          </w:divBdr>
        </w:div>
        <w:div w:id="1178889343">
          <w:marLeft w:val="1886"/>
          <w:marRight w:val="0"/>
          <w:marTop w:val="0"/>
          <w:marBottom w:val="0"/>
          <w:divBdr>
            <w:top w:val="none" w:sz="0" w:space="0" w:color="auto"/>
            <w:left w:val="none" w:sz="0" w:space="0" w:color="auto"/>
            <w:bottom w:val="none" w:sz="0" w:space="0" w:color="auto"/>
            <w:right w:val="none" w:sz="0" w:space="0" w:color="auto"/>
          </w:divBdr>
        </w:div>
        <w:div w:id="1797259827">
          <w:marLeft w:val="1886"/>
          <w:marRight w:val="0"/>
          <w:marTop w:val="0"/>
          <w:marBottom w:val="0"/>
          <w:divBdr>
            <w:top w:val="none" w:sz="0" w:space="0" w:color="auto"/>
            <w:left w:val="none" w:sz="0" w:space="0" w:color="auto"/>
            <w:bottom w:val="none" w:sz="0" w:space="0" w:color="auto"/>
            <w:right w:val="none" w:sz="0" w:space="0" w:color="auto"/>
          </w:divBdr>
        </w:div>
        <w:div w:id="217981812">
          <w:marLeft w:val="1166"/>
          <w:marRight w:val="0"/>
          <w:marTop w:val="0"/>
          <w:marBottom w:val="0"/>
          <w:divBdr>
            <w:top w:val="none" w:sz="0" w:space="0" w:color="auto"/>
            <w:left w:val="none" w:sz="0" w:space="0" w:color="auto"/>
            <w:bottom w:val="none" w:sz="0" w:space="0" w:color="auto"/>
            <w:right w:val="none" w:sz="0" w:space="0" w:color="auto"/>
          </w:divBdr>
        </w:div>
        <w:div w:id="64452785">
          <w:marLeft w:val="1886"/>
          <w:marRight w:val="0"/>
          <w:marTop w:val="0"/>
          <w:marBottom w:val="0"/>
          <w:divBdr>
            <w:top w:val="none" w:sz="0" w:space="0" w:color="auto"/>
            <w:left w:val="none" w:sz="0" w:space="0" w:color="auto"/>
            <w:bottom w:val="none" w:sz="0" w:space="0" w:color="auto"/>
            <w:right w:val="none" w:sz="0" w:space="0" w:color="auto"/>
          </w:divBdr>
        </w:div>
        <w:div w:id="1635410311">
          <w:marLeft w:val="1886"/>
          <w:marRight w:val="0"/>
          <w:marTop w:val="0"/>
          <w:marBottom w:val="0"/>
          <w:divBdr>
            <w:top w:val="none" w:sz="0" w:space="0" w:color="auto"/>
            <w:left w:val="none" w:sz="0" w:space="0" w:color="auto"/>
            <w:bottom w:val="none" w:sz="0" w:space="0" w:color="auto"/>
            <w:right w:val="none" w:sz="0" w:space="0" w:color="auto"/>
          </w:divBdr>
        </w:div>
        <w:div w:id="506749516">
          <w:marLeft w:val="1886"/>
          <w:marRight w:val="0"/>
          <w:marTop w:val="0"/>
          <w:marBottom w:val="0"/>
          <w:divBdr>
            <w:top w:val="none" w:sz="0" w:space="0" w:color="auto"/>
            <w:left w:val="none" w:sz="0" w:space="0" w:color="auto"/>
            <w:bottom w:val="none" w:sz="0" w:space="0" w:color="auto"/>
            <w:right w:val="none" w:sz="0" w:space="0" w:color="auto"/>
          </w:divBdr>
        </w:div>
      </w:divsChild>
    </w:div>
    <w:div w:id="724062587">
      <w:bodyDiv w:val="1"/>
      <w:marLeft w:val="0"/>
      <w:marRight w:val="0"/>
      <w:marTop w:val="0"/>
      <w:marBottom w:val="0"/>
      <w:divBdr>
        <w:top w:val="none" w:sz="0" w:space="0" w:color="auto"/>
        <w:left w:val="none" w:sz="0" w:space="0" w:color="auto"/>
        <w:bottom w:val="none" w:sz="0" w:space="0" w:color="auto"/>
        <w:right w:val="none" w:sz="0" w:space="0" w:color="auto"/>
      </w:divBdr>
      <w:divsChild>
        <w:div w:id="1446463293">
          <w:marLeft w:val="446"/>
          <w:marRight w:val="0"/>
          <w:marTop w:val="0"/>
          <w:marBottom w:val="0"/>
          <w:divBdr>
            <w:top w:val="none" w:sz="0" w:space="0" w:color="auto"/>
            <w:left w:val="none" w:sz="0" w:space="0" w:color="auto"/>
            <w:bottom w:val="none" w:sz="0" w:space="0" w:color="auto"/>
            <w:right w:val="none" w:sz="0" w:space="0" w:color="auto"/>
          </w:divBdr>
        </w:div>
        <w:div w:id="573467145">
          <w:marLeft w:val="446"/>
          <w:marRight w:val="0"/>
          <w:marTop w:val="0"/>
          <w:marBottom w:val="0"/>
          <w:divBdr>
            <w:top w:val="none" w:sz="0" w:space="0" w:color="auto"/>
            <w:left w:val="none" w:sz="0" w:space="0" w:color="auto"/>
            <w:bottom w:val="none" w:sz="0" w:space="0" w:color="auto"/>
            <w:right w:val="none" w:sz="0" w:space="0" w:color="auto"/>
          </w:divBdr>
        </w:div>
        <w:div w:id="422578346">
          <w:marLeft w:val="1166"/>
          <w:marRight w:val="0"/>
          <w:marTop w:val="0"/>
          <w:marBottom w:val="0"/>
          <w:divBdr>
            <w:top w:val="none" w:sz="0" w:space="0" w:color="auto"/>
            <w:left w:val="none" w:sz="0" w:space="0" w:color="auto"/>
            <w:bottom w:val="none" w:sz="0" w:space="0" w:color="auto"/>
            <w:right w:val="none" w:sz="0" w:space="0" w:color="auto"/>
          </w:divBdr>
        </w:div>
        <w:div w:id="1243485090">
          <w:marLeft w:val="446"/>
          <w:marRight w:val="0"/>
          <w:marTop w:val="0"/>
          <w:marBottom w:val="0"/>
          <w:divBdr>
            <w:top w:val="none" w:sz="0" w:space="0" w:color="auto"/>
            <w:left w:val="none" w:sz="0" w:space="0" w:color="auto"/>
            <w:bottom w:val="none" w:sz="0" w:space="0" w:color="auto"/>
            <w:right w:val="none" w:sz="0" w:space="0" w:color="auto"/>
          </w:divBdr>
        </w:div>
        <w:div w:id="422722186">
          <w:marLeft w:val="1166"/>
          <w:marRight w:val="0"/>
          <w:marTop w:val="0"/>
          <w:marBottom w:val="0"/>
          <w:divBdr>
            <w:top w:val="none" w:sz="0" w:space="0" w:color="auto"/>
            <w:left w:val="none" w:sz="0" w:space="0" w:color="auto"/>
            <w:bottom w:val="none" w:sz="0" w:space="0" w:color="auto"/>
            <w:right w:val="none" w:sz="0" w:space="0" w:color="auto"/>
          </w:divBdr>
        </w:div>
        <w:div w:id="1037586231">
          <w:marLeft w:val="1886"/>
          <w:marRight w:val="0"/>
          <w:marTop w:val="0"/>
          <w:marBottom w:val="0"/>
          <w:divBdr>
            <w:top w:val="none" w:sz="0" w:space="0" w:color="auto"/>
            <w:left w:val="none" w:sz="0" w:space="0" w:color="auto"/>
            <w:bottom w:val="none" w:sz="0" w:space="0" w:color="auto"/>
            <w:right w:val="none" w:sz="0" w:space="0" w:color="auto"/>
          </w:divBdr>
        </w:div>
        <w:div w:id="206767355">
          <w:marLeft w:val="1166"/>
          <w:marRight w:val="0"/>
          <w:marTop w:val="0"/>
          <w:marBottom w:val="0"/>
          <w:divBdr>
            <w:top w:val="none" w:sz="0" w:space="0" w:color="auto"/>
            <w:left w:val="none" w:sz="0" w:space="0" w:color="auto"/>
            <w:bottom w:val="none" w:sz="0" w:space="0" w:color="auto"/>
            <w:right w:val="none" w:sz="0" w:space="0" w:color="auto"/>
          </w:divBdr>
        </w:div>
      </w:divsChild>
    </w:div>
    <w:div w:id="860778732">
      <w:bodyDiv w:val="1"/>
      <w:marLeft w:val="0"/>
      <w:marRight w:val="0"/>
      <w:marTop w:val="0"/>
      <w:marBottom w:val="0"/>
      <w:divBdr>
        <w:top w:val="none" w:sz="0" w:space="0" w:color="auto"/>
        <w:left w:val="none" w:sz="0" w:space="0" w:color="auto"/>
        <w:bottom w:val="none" w:sz="0" w:space="0" w:color="auto"/>
        <w:right w:val="none" w:sz="0" w:space="0" w:color="auto"/>
      </w:divBdr>
      <w:divsChild>
        <w:div w:id="354770717">
          <w:marLeft w:val="446"/>
          <w:marRight w:val="0"/>
          <w:marTop w:val="0"/>
          <w:marBottom w:val="0"/>
          <w:divBdr>
            <w:top w:val="none" w:sz="0" w:space="0" w:color="auto"/>
            <w:left w:val="none" w:sz="0" w:space="0" w:color="auto"/>
            <w:bottom w:val="none" w:sz="0" w:space="0" w:color="auto"/>
            <w:right w:val="none" w:sz="0" w:space="0" w:color="auto"/>
          </w:divBdr>
        </w:div>
        <w:div w:id="503671880">
          <w:marLeft w:val="1267"/>
          <w:marRight w:val="0"/>
          <w:marTop w:val="0"/>
          <w:marBottom w:val="0"/>
          <w:divBdr>
            <w:top w:val="none" w:sz="0" w:space="0" w:color="auto"/>
            <w:left w:val="none" w:sz="0" w:space="0" w:color="auto"/>
            <w:bottom w:val="none" w:sz="0" w:space="0" w:color="auto"/>
            <w:right w:val="none" w:sz="0" w:space="0" w:color="auto"/>
          </w:divBdr>
        </w:div>
        <w:div w:id="1494032308">
          <w:marLeft w:val="1267"/>
          <w:marRight w:val="0"/>
          <w:marTop w:val="0"/>
          <w:marBottom w:val="0"/>
          <w:divBdr>
            <w:top w:val="none" w:sz="0" w:space="0" w:color="auto"/>
            <w:left w:val="none" w:sz="0" w:space="0" w:color="auto"/>
            <w:bottom w:val="none" w:sz="0" w:space="0" w:color="auto"/>
            <w:right w:val="none" w:sz="0" w:space="0" w:color="auto"/>
          </w:divBdr>
        </w:div>
        <w:div w:id="1047725941">
          <w:marLeft w:val="1886"/>
          <w:marRight w:val="0"/>
          <w:marTop w:val="0"/>
          <w:marBottom w:val="0"/>
          <w:divBdr>
            <w:top w:val="none" w:sz="0" w:space="0" w:color="auto"/>
            <w:left w:val="none" w:sz="0" w:space="0" w:color="auto"/>
            <w:bottom w:val="none" w:sz="0" w:space="0" w:color="auto"/>
            <w:right w:val="none" w:sz="0" w:space="0" w:color="auto"/>
          </w:divBdr>
        </w:div>
        <w:div w:id="1901747529">
          <w:marLeft w:val="1886"/>
          <w:marRight w:val="0"/>
          <w:marTop w:val="0"/>
          <w:marBottom w:val="0"/>
          <w:divBdr>
            <w:top w:val="none" w:sz="0" w:space="0" w:color="auto"/>
            <w:left w:val="none" w:sz="0" w:space="0" w:color="auto"/>
            <w:bottom w:val="none" w:sz="0" w:space="0" w:color="auto"/>
            <w:right w:val="none" w:sz="0" w:space="0" w:color="auto"/>
          </w:divBdr>
        </w:div>
        <w:div w:id="927545247">
          <w:marLeft w:val="1267"/>
          <w:marRight w:val="0"/>
          <w:marTop w:val="0"/>
          <w:marBottom w:val="0"/>
          <w:divBdr>
            <w:top w:val="none" w:sz="0" w:space="0" w:color="auto"/>
            <w:left w:val="none" w:sz="0" w:space="0" w:color="auto"/>
            <w:bottom w:val="none" w:sz="0" w:space="0" w:color="auto"/>
            <w:right w:val="none" w:sz="0" w:space="0" w:color="auto"/>
          </w:divBdr>
        </w:div>
        <w:div w:id="784233854">
          <w:marLeft w:val="1886"/>
          <w:marRight w:val="0"/>
          <w:marTop w:val="0"/>
          <w:marBottom w:val="0"/>
          <w:divBdr>
            <w:top w:val="none" w:sz="0" w:space="0" w:color="auto"/>
            <w:left w:val="none" w:sz="0" w:space="0" w:color="auto"/>
            <w:bottom w:val="none" w:sz="0" w:space="0" w:color="auto"/>
            <w:right w:val="none" w:sz="0" w:space="0" w:color="auto"/>
          </w:divBdr>
        </w:div>
        <w:div w:id="707949281">
          <w:marLeft w:val="1886"/>
          <w:marRight w:val="0"/>
          <w:marTop w:val="0"/>
          <w:marBottom w:val="0"/>
          <w:divBdr>
            <w:top w:val="none" w:sz="0" w:space="0" w:color="auto"/>
            <w:left w:val="none" w:sz="0" w:space="0" w:color="auto"/>
            <w:bottom w:val="none" w:sz="0" w:space="0" w:color="auto"/>
            <w:right w:val="none" w:sz="0" w:space="0" w:color="auto"/>
          </w:divBdr>
        </w:div>
        <w:div w:id="1907913806">
          <w:marLeft w:val="1267"/>
          <w:marRight w:val="0"/>
          <w:marTop w:val="0"/>
          <w:marBottom w:val="0"/>
          <w:divBdr>
            <w:top w:val="none" w:sz="0" w:space="0" w:color="auto"/>
            <w:left w:val="none" w:sz="0" w:space="0" w:color="auto"/>
            <w:bottom w:val="none" w:sz="0" w:space="0" w:color="auto"/>
            <w:right w:val="none" w:sz="0" w:space="0" w:color="auto"/>
          </w:divBdr>
        </w:div>
        <w:div w:id="1921866551">
          <w:marLeft w:val="1886"/>
          <w:marRight w:val="0"/>
          <w:marTop w:val="0"/>
          <w:marBottom w:val="0"/>
          <w:divBdr>
            <w:top w:val="none" w:sz="0" w:space="0" w:color="auto"/>
            <w:left w:val="none" w:sz="0" w:space="0" w:color="auto"/>
            <w:bottom w:val="none" w:sz="0" w:space="0" w:color="auto"/>
            <w:right w:val="none" w:sz="0" w:space="0" w:color="auto"/>
          </w:divBdr>
        </w:div>
        <w:div w:id="342363086">
          <w:marLeft w:val="1267"/>
          <w:marRight w:val="0"/>
          <w:marTop w:val="0"/>
          <w:marBottom w:val="0"/>
          <w:divBdr>
            <w:top w:val="none" w:sz="0" w:space="0" w:color="auto"/>
            <w:left w:val="none" w:sz="0" w:space="0" w:color="auto"/>
            <w:bottom w:val="none" w:sz="0" w:space="0" w:color="auto"/>
            <w:right w:val="none" w:sz="0" w:space="0" w:color="auto"/>
          </w:divBdr>
        </w:div>
        <w:div w:id="498346175">
          <w:marLeft w:val="446"/>
          <w:marRight w:val="0"/>
          <w:marTop w:val="0"/>
          <w:marBottom w:val="0"/>
          <w:divBdr>
            <w:top w:val="none" w:sz="0" w:space="0" w:color="auto"/>
            <w:left w:val="none" w:sz="0" w:space="0" w:color="auto"/>
            <w:bottom w:val="none" w:sz="0" w:space="0" w:color="auto"/>
            <w:right w:val="none" w:sz="0" w:space="0" w:color="auto"/>
          </w:divBdr>
        </w:div>
        <w:div w:id="1824933974">
          <w:marLeft w:val="1166"/>
          <w:marRight w:val="0"/>
          <w:marTop w:val="0"/>
          <w:marBottom w:val="0"/>
          <w:divBdr>
            <w:top w:val="none" w:sz="0" w:space="0" w:color="auto"/>
            <w:left w:val="none" w:sz="0" w:space="0" w:color="auto"/>
            <w:bottom w:val="none" w:sz="0" w:space="0" w:color="auto"/>
            <w:right w:val="none" w:sz="0" w:space="0" w:color="auto"/>
          </w:divBdr>
        </w:div>
        <w:div w:id="119034505">
          <w:marLeft w:val="1886"/>
          <w:marRight w:val="0"/>
          <w:marTop w:val="0"/>
          <w:marBottom w:val="0"/>
          <w:divBdr>
            <w:top w:val="none" w:sz="0" w:space="0" w:color="auto"/>
            <w:left w:val="none" w:sz="0" w:space="0" w:color="auto"/>
            <w:bottom w:val="none" w:sz="0" w:space="0" w:color="auto"/>
            <w:right w:val="none" w:sz="0" w:space="0" w:color="auto"/>
          </w:divBdr>
        </w:div>
        <w:div w:id="1841768586">
          <w:marLeft w:val="1886"/>
          <w:marRight w:val="0"/>
          <w:marTop w:val="0"/>
          <w:marBottom w:val="0"/>
          <w:divBdr>
            <w:top w:val="none" w:sz="0" w:space="0" w:color="auto"/>
            <w:left w:val="none" w:sz="0" w:space="0" w:color="auto"/>
            <w:bottom w:val="none" w:sz="0" w:space="0" w:color="auto"/>
            <w:right w:val="none" w:sz="0" w:space="0" w:color="auto"/>
          </w:divBdr>
        </w:div>
        <w:div w:id="1463843701">
          <w:marLeft w:val="1886"/>
          <w:marRight w:val="0"/>
          <w:marTop w:val="0"/>
          <w:marBottom w:val="0"/>
          <w:divBdr>
            <w:top w:val="none" w:sz="0" w:space="0" w:color="auto"/>
            <w:left w:val="none" w:sz="0" w:space="0" w:color="auto"/>
            <w:bottom w:val="none" w:sz="0" w:space="0" w:color="auto"/>
            <w:right w:val="none" w:sz="0" w:space="0" w:color="auto"/>
          </w:divBdr>
        </w:div>
        <w:div w:id="392656223">
          <w:marLeft w:val="1166"/>
          <w:marRight w:val="0"/>
          <w:marTop w:val="0"/>
          <w:marBottom w:val="0"/>
          <w:divBdr>
            <w:top w:val="none" w:sz="0" w:space="0" w:color="auto"/>
            <w:left w:val="none" w:sz="0" w:space="0" w:color="auto"/>
            <w:bottom w:val="none" w:sz="0" w:space="0" w:color="auto"/>
            <w:right w:val="none" w:sz="0" w:space="0" w:color="auto"/>
          </w:divBdr>
        </w:div>
        <w:div w:id="564032425">
          <w:marLeft w:val="1886"/>
          <w:marRight w:val="0"/>
          <w:marTop w:val="0"/>
          <w:marBottom w:val="0"/>
          <w:divBdr>
            <w:top w:val="none" w:sz="0" w:space="0" w:color="auto"/>
            <w:left w:val="none" w:sz="0" w:space="0" w:color="auto"/>
            <w:bottom w:val="none" w:sz="0" w:space="0" w:color="auto"/>
            <w:right w:val="none" w:sz="0" w:space="0" w:color="auto"/>
          </w:divBdr>
        </w:div>
        <w:div w:id="1362627460">
          <w:marLeft w:val="1886"/>
          <w:marRight w:val="0"/>
          <w:marTop w:val="0"/>
          <w:marBottom w:val="0"/>
          <w:divBdr>
            <w:top w:val="none" w:sz="0" w:space="0" w:color="auto"/>
            <w:left w:val="none" w:sz="0" w:space="0" w:color="auto"/>
            <w:bottom w:val="none" w:sz="0" w:space="0" w:color="auto"/>
            <w:right w:val="none" w:sz="0" w:space="0" w:color="auto"/>
          </w:divBdr>
        </w:div>
        <w:div w:id="427894272">
          <w:marLeft w:val="1886"/>
          <w:marRight w:val="0"/>
          <w:marTop w:val="0"/>
          <w:marBottom w:val="0"/>
          <w:divBdr>
            <w:top w:val="none" w:sz="0" w:space="0" w:color="auto"/>
            <w:left w:val="none" w:sz="0" w:space="0" w:color="auto"/>
            <w:bottom w:val="none" w:sz="0" w:space="0" w:color="auto"/>
            <w:right w:val="none" w:sz="0" w:space="0" w:color="auto"/>
          </w:divBdr>
        </w:div>
        <w:div w:id="1668939815">
          <w:marLeft w:val="1166"/>
          <w:marRight w:val="0"/>
          <w:marTop w:val="0"/>
          <w:marBottom w:val="0"/>
          <w:divBdr>
            <w:top w:val="none" w:sz="0" w:space="0" w:color="auto"/>
            <w:left w:val="none" w:sz="0" w:space="0" w:color="auto"/>
            <w:bottom w:val="none" w:sz="0" w:space="0" w:color="auto"/>
            <w:right w:val="none" w:sz="0" w:space="0" w:color="auto"/>
          </w:divBdr>
        </w:div>
        <w:div w:id="675376677">
          <w:marLeft w:val="1886"/>
          <w:marRight w:val="0"/>
          <w:marTop w:val="0"/>
          <w:marBottom w:val="0"/>
          <w:divBdr>
            <w:top w:val="none" w:sz="0" w:space="0" w:color="auto"/>
            <w:left w:val="none" w:sz="0" w:space="0" w:color="auto"/>
            <w:bottom w:val="none" w:sz="0" w:space="0" w:color="auto"/>
            <w:right w:val="none" w:sz="0" w:space="0" w:color="auto"/>
          </w:divBdr>
        </w:div>
        <w:div w:id="914898274">
          <w:marLeft w:val="1886"/>
          <w:marRight w:val="0"/>
          <w:marTop w:val="0"/>
          <w:marBottom w:val="0"/>
          <w:divBdr>
            <w:top w:val="none" w:sz="0" w:space="0" w:color="auto"/>
            <w:left w:val="none" w:sz="0" w:space="0" w:color="auto"/>
            <w:bottom w:val="none" w:sz="0" w:space="0" w:color="auto"/>
            <w:right w:val="none" w:sz="0" w:space="0" w:color="auto"/>
          </w:divBdr>
        </w:div>
        <w:div w:id="1468282815">
          <w:marLeft w:val="1886"/>
          <w:marRight w:val="0"/>
          <w:marTop w:val="0"/>
          <w:marBottom w:val="0"/>
          <w:divBdr>
            <w:top w:val="none" w:sz="0" w:space="0" w:color="auto"/>
            <w:left w:val="none" w:sz="0" w:space="0" w:color="auto"/>
            <w:bottom w:val="none" w:sz="0" w:space="0" w:color="auto"/>
            <w:right w:val="none" w:sz="0" w:space="0" w:color="auto"/>
          </w:divBdr>
        </w:div>
      </w:divsChild>
    </w:div>
    <w:div w:id="1033729901">
      <w:bodyDiv w:val="1"/>
      <w:marLeft w:val="0"/>
      <w:marRight w:val="0"/>
      <w:marTop w:val="0"/>
      <w:marBottom w:val="0"/>
      <w:divBdr>
        <w:top w:val="none" w:sz="0" w:space="0" w:color="auto"/>
        <w:left w:val="none" w:sz="0" w:space="0" w:color="auto"/>
        <w:bottom w:val="none" w:sz="0" w:space="0" w:color="auto"/>
        <w:right w:val="none" w:sz="0" w:space="0" w:color="auto"/>
      </w:divBdr>
      <w:divsChild>
        <w:div w:id="920331579">
          <w:marLeft w:val="446"/>
          <w:marRight w:val="0"/>
          <w:marTop w:val="0"/>
          <w:marBottom w:val="0"/>
          <w:divBdr>
            <w:top w:val="none" w:sz="0" w:space="0" w:color="auto"/>
            <w:left w:val="none" w:sz="0" w:space="0" w:color="auto"/>
            <w:bottom w:val="none" w:sz="0" w:space="0" w:color="auto"/>
            <w:right w:val="none" w:sz="0" w:space="0" w:color="auto"/>
          </w:divBdr>
        </w:div>
        <w:div w:id="1854685377">
          <w:marLeft w:val="1267"/>
          <w:marRight w:val="0"/>
          <w:marTop w:val="0"/>
          <w:marBottom w:val="0"/>
          <w:divBdr>
            <w:top w:val="none" w:sz="0" w:space="0" w:color="auto"/>
            <w:left w:val="none" w:sz="0" w:space="0" w:color="auto"/>
            <w:bottom w:val="none" w:sz="0" w:space="0" w:color="auto"/>
            <w:right w:val="none" w:sz="0" w:space="0" w:color="auto"/>
          </w:divBdr>
        </w:div>
        <w:div w:id="1532691930">
          <w:marLeft w:val="1267"/>
          <w:marRight w:val="0"/>
          <w:marTop w:val="0"/>
          <w:marBottom w:val="0"/>
          <w:divBdr>
            <w:top w:val="none" w:sz="0" w:space="0" w:color="auto"/>
            <w:left w:val="none" w:sz="0" w:space="0" w:color="auto"/>
            <w:bottom w:val="none" w:sz="0" w:space="0" w:color="auto"/>
            <w:right w:val="none" w:sz="0" w:space="0" w:color="auto"/>
          </w:divBdr>
        </w:div>
        <w:div w:id="626619763">
          <w:marLeft w:val="1886"/>
          <w:marRight w:val="0"/>
          <w:marTop w:val="0"/>
          <w:marBottom w:val="0"/>
          <w:divBdr>
            <w:top w:val="none" w:sz="0" w:space="0" w:color="auto"/>
            <w:left w:val="none" w:sz="0" w:space="0" w:color="auto"/>
            <w:bottom w:val="none" w:sz="0" w:space="0" w:color="auto"/>
            <w:right w:val="none" w:sz="0" w:space="0" w:color="auto"/>
          </w:divBdr>
        </w:div>
        <w:div w:id="2118283397">
          <w:marLeft w:val="1886"/>
          <w:marRight w:val="0"/>
          <w:marTop w:val="0"/>
          <w:marBottom w:val="0"/>
          <w:divBdr>
            <w:top w:val="none" w:sz="0" w:space="0" w:color="auto"/>
            <w:left w:val="none" w:sz="0" w:space="0" w:color="auto"/>
            <w:bottom w:val="none" w:sz="0" w:space="0" w:color="auto"/>
            <w:right w:val="none" w:sz="0" w:space="0" w:color="auto"/>
          </w:divBdr>
        </w:div>
        <w:div w:id="1733893930">
          <w:marLeft w:val="1267"/>
          <w:marRight w:val="0"/>
          <w:marTop w:val="0"/>
          <w:marBottom w:val="0"/>
          <w:divBdr>
            <w:top w:val="none" w:sz="0" w:space="0" w:color="auto"/>
            <w:left w:val="none" w:sz="0" w:space="0" w:color="auto"/>
            <w:bottom w:val="none" w:sz="0" w:space="0" w:color="auto"/>
            <w:right w:val="none" w:sz="0" w:space="0" w:color="auto"/>
          </w:divBdr>
        </w:div>
        <w:div w:id="1677537866">
          <w:marLeft w:val="1886"/>
          <w:marRight w:val="0"/>
          <w:marTop w:val="0"/>
          <w:marBottom w:val="0"/>
          <w:divBdr>
            <w:top w:val="none" w:sz="0" w:space="0" w:color="auto"/>
            <w:left w:val="none" w:sz="0" w:space="0" w:color="auto"/>
            <w:bottom w:val="none" w:sz="0" w:space="0" w:color="auto"/>
            <w:right w:val="none" w:sz="0" w:space="0" w:color="auto"/>
          </w:divBdr>
        </w:div>
        <w:div w:id="2076125154">
          <w:marLeft w:val="1886"/>
          <w:marRight w:val="0"/>
          <w:marTop w:val="0"/>
          <w:marBottom w:val="0"/>
          <w:divBdr>
            <w:top w:val="none" w:sz="0" w:space="0" w:color="auto"/>
            <w:left w:val="none" w:sz="0" w:space="0" w:color="auto"/>
            <w:bottom w:val="none" w:sz="0" w:space="0" w:color="auto"/>
            <w:right w:val="none" w:sz="0" w:space="0" w:color="auto"/>
          </w:divBdr>
        </w:div>
        <w:div w:id="1190409763">
          <w:marLeft w:val="1267"/>
          <w:marRight w:val="0"/>
          <w:marTop w:val="0"/>
          <w:marBottom w:val="0"/>
          <w:divBdr>
            <w:top w:val="none" w:sz="0" w:space="0" w:color="auto"/>
            <w:left w:val="none" w:sz="0" w:space="0" w:color="auto"/>
            <w:bottom w:val="none" w:sz="0" w:space="0" w:color="auto"/>
            <w:right w:val="none" w:sz="0" w:space="0" w:color="auto"/>
          </w:divBdr>
        </w:div>
        <w:div w:id="1592929092">
          <w:marLeft w:val="1886"/>
          <w:marRight w:val="0"/>
          <w:marTop w:val="0"/>
          <w:marBottom w:val="0"/>
          <w:divBdr>
            <w:top w:val="none" w:sz="0" w:space="0" w:color="auto"/>
            <w:left w:val="none" w:sz="0" w:space="0" w:color="auto"/>
            <w:bottom w:val="none" w:sz="0" w:space="0" w:color="auto"/>
            <w:right w:val="none" w:sz="0" w:space="0" w:color="auto"/>
          </w:divBdr>
        </w:div>
        <w:div w:id="58795088">
          <w:marLeft w:val="1267"/>
          <w:marRight w:val="0"/>
          <w:marTop w:val="0"/>
          <w:marBottom w:val="0"/>
          <w:divBdr>
            <w:top w:val="none" w:sz="0" w:space="0" w:color="auto"/>
            <w:left w:val="none" w:sz="0" w:space="0" w:color="auto"/>
            <w:bottom w:val="none" w:sz="0" w:space="0" w:color="auto"/>
            <w:right w:val="none" w:sz="0" w:space="0" w:color="auto"/>
          </w:divBdr>
        </w:div>
        <w:div w:id="155414647">
          <w:marLeft w:val="446"/>
          <w:marRight w:val="0"/>
          <w:marTop w:val="0"/>
          <w:marBottom w:val="0"/>
          <w:divBdr>
            <w:top w:val="none" w:sz="0" w:space="0" w:color="auto"/>
            <w:left w:val="none" w:sz="0" w:space="0" w:color="auto"/>
            <w:bottom w:val="none" w:sz="0" w:space="0" w:color="auto"/>
            <w:right w:val="none" w:sz="0" w:space="0" w:color="auto"/>
          </w:divBdr>
        </w:div>
        <w:div w:id="875659260">
          <w:marLeft w:val="1166"/>
          <w:marRight w:val="0"/>
          <w:marTop w:val="0"/>
          <w:marBottom w:val="0"/>
          <w:divBdr>
            <w:top w:val="none" w:sz="0" w:space="0" w:color="auto"/>
            <w:left w:val="none" w:sz="0" w:space="0" w:color="auto"/>
            <w:bottom w:val="none" w:sz="0" w:space="0" w:color="auto"/>
            <w:right w:val="none" w:sz="0" w:space="0" w:color="auto"/>
          </w:divBdr>
        </w:div>
        <w:div w:id="1903254995">
          <w:marLeft w:val="1886"/>
          <w:marRight w:val="0"/>
          <w:marTop w:val="0"/>
          <w:marBottom w:val="0"/>
          <w:divBdr>
            <w:top w:val="none" w:sz="0" w:space="0" w:color="auto"/>
            <w:left w:val="none" w:sz="0" w:space="0" w:color="auto"/>
            <w:bottom w:val="none" w:sz="0" w:space="0" w:color="auto"/>
            <w:right w:val="none" w:sz="0" w:space="0" w:color="auto"/>
          </w:divBdr>
        </w:div>
        <w:div w:id="627589730">
          <w:marLeft w:val="1886"/>
          <w:marRight w:val="0"/>
          <w:marTop w:val="0"/>
          <w:marBottom w:val="0"/>
          <w:divBdr>
            <w:top w:val="none" w:sz="0" w:space="0" w:color="auto"/>
            <w:left w:val="none" w:sz="0" w:space="0" w:color="auto"/>
            <w:bottom w:val="none" w:sz="0" w:space="0" w:color="auto"/>
            <w:right w:val="none" w:sz="0" w:space="0" w:color="auto"/>
          </w:divBdr>
        </w:div>
        <w:div w:id="360396587">
          <w:marLeft w:val="1886"/>
          <w:marRight w:val="0"/>
          <w:marTop w:val="0"/>
          <w:marBottom w:val="0"/>
          <w:divBdr>
            <w:top w:val="none" w:sz="0" w:space="0" w:color="auto"/>
            <w:left w:val="none" w:sz="0" w:space="0" w:color="auto"/>
            <w:bottom w:val="none" w:sz="0" w:space="0" w:color="auto"/>
            <w:right w:val="none" w:sz="0" w:space="0" w:color="auto"/>
          </w:divBdr>
        </w:div>
        <w:div w:id="1739982848">
          <w:marLeft w:val="1166"/>
          <w:marRight w:val="0"/>
          <w:marTop w:val="0"/>
          <w:marBottom w:val="0"/>
          <w:divBdr>
            <w:top w:val="none" w:sz="0" w:space="0" w:color="auto"/>
            <w:left w:val="none" w:sz="0" w:space="0" w:color="auto"/>
            <w:bottom w:val="none" w:sz="0" w:space="0" w:color="auto"/>
            <w:right w:val="none" w:sz="0" w:space="0" w:color="auto"/>
          </w:divBdr>
        </w:div>
        <w:div w:id="1842039713">
          <w:marLeft w:val="1886"/>
          <w:marRight w:val="0"/>
          <w:marTop w:val="0"/>
          <w:marBottom w:val="0"/>
          <w:divBdr>
            <w:top w:val="none" w:sz="0" w:space="0" w:color="auto"/>
            <w:left w:val="none" w:sz="0" w:space="0" w:color="auto"/>
            <w:bottom w:val="none" w:sz="0" w:space="0" w:color="auto"/>
            <w:right w:val="none" w:sz="0" w:space="0" w:color="auto"/>
          </w:divBdr>
        </w:div>
        <w:div w:id="84616075">
          <w:marLeft w:val="1886"/>
          <w:marRight w:val="0"/>
          <w:marTop w:val="0"/>
          <w:marBottom w:val="0"/>
          <w:divBdr>
            <w:top w:val="none" w:sz="0" w:space="0" w:color="auto"/>
            <w:left w:val="none" w:sz="0" w:space="0" w:color="auto"/>
            <w:bottom w:val="none" w:sz="0" w:space="0" w:color="auto"/>
            <w:right w:val="none" w:sz="0" w:space="0" w:color="auto"/>
          </w:divBdr>
        </w:div>
        <w:div w:id="1519271520">
          <w:marLeft w:val="1886"/>
          <w:marRight w:val="0"/>
          <w:marTop w:val="0"/>
          <w:marBottom w:val="0"/>
          <w:divBdr>
            <w:top w:val="none" w:sz="0" w:space="0" w:color="auto"/>
            <w:left w:val="none" w:sz="0" w:space="0" w:color="auto"/>
            <w:bottom w:val="none" w:sz="0" w:space="0" w:color="auto"/>
            <w:right w:val="none" w:sz="0" w:space="0" w:color="auto"/>
          </w:divBdr>
        </w:div>
        <w:div w:id="911894257">
          <w:marLeft w:val="1166"/>
          <w:marRight w:val="0"/>
          <w:marTop w:val="0"/>
          <w:marBottom w:val="0"/>
          <w:divBdr>
            <w:top w:val="none" w:sz="0" w:space="0" w:color="auto"/>
            <w:left w:val="none" w:sz="0" w:space="0" w:color="auto"/>
            <w:bottom w:val="none" w:sz="0" w:space="0" w:color="auto"/>
            <w:right w:val="none" w:sz="0" w:space="0" w:color="auto"/>
          </w:divBdr>
        </w:div>
        <w:div w:id="481502859">
          <w:marLeft w:val="1886"/>
          <w:marRight w:val="0"/>
          <w:marTop w:val="0"/>
          <w:marBottom w:val="0"/>
          <w:divBdr>
            <w:top w:val="none" w:sz="0" w:space="0" w:color="auto"/>
            <w:left w:val="none" w:sz="0" w:space="0" w:color="auto"/>
            <w:bottom w:val="none" w:sz="0" w:space="0" w:color="auto"/>
            <w:right w:val="none" w:sz="0" w:space="0" w:color="auto"/>
          </w:divBdr>
        </w:div>
        <w:div w:id="1835220624">
          <w:marLeft w:val="1886"/>
          <w:marRight w:val="0"/>
          <w:marTop w:val="0"/>
          <w:marBottom w:val="0"/>
          <w:divBdr>
            <w:top w:val="none" w:sz="0" w:space="0" w:color="auto"/>
            <w:left w:val="none" w:sz="0" w:space="0" w:color="auto"/>
            <w:bottom w:val="none" w:sz="0" w:space="0" w:color="auto"/>
            <w:right w:val="none" w:sz="0" w:space="0" w:color="auto"/>
          </w:divBdr>
        </w:div>
        <w:div w:id="1416125138">
          <w:marLeft w:val="1886"/>
          <w:marRight w:val="0"/>
          <w:marTop w:val="0"/>
          <w:marBottom w:val="0"/>
          <w:divBdr>
            <w:top w:val="none" w:sz="0" w:space="0" w:color="auto"/>
            <w:left w:val="none" w:sz="0" w:space="0" w:color="auto"/>
            <w:bottom w:val="none" w:sz="0" w:space="0" w:color="auto"/>
            <w:right w:val="none" w:sz="0" w:space="0" w:color="auto"/>
          </w:divBdr>
        </w:div>
      </w:divsChild>
    </w:div>
    <w:div w:id="1040785593">
      <w:bodyDiv w:val="1"/>
      <w:marLeft w:val="0"/>
      <w:marRight w:val="0"/>
      <w:marTop w:val="0"/>
      <w:marBottom w:val="0"/>
      <w:divBdr>
        <w:top w:val="none" w:sz="0" w:space="0" w:color="auto"/>
        <w:left w:val="none" w:sz="0" w:space="0" w:color="auto"/>
        <w:bottom w:val="none" w:sz="0" w:space="0" w:color="auto"/>
        <w:right w:val="none" w:sz="0" w:space="0" w:color="auto"/>
      </w:divBdr>
    </w:div>
    <w:div w:id="1246646124">
      <w:bodyDiv w:val="1"/>
      <w:marLeft w:val="0"/>
      <w:marRight w:val="0"/>
      <w:marTop w:val="0"/>
      <w:marBottom w:val="0"/>
      <w:divBdr>
        <w:top w:val="none" w:sz="0" w:space="0" w:color="auto"/>
        <w:left w:val="none" w:sz="0" w:space="0" w:color="auto"/>
        <w:bottom w:val="none" w:sz="0" w:space="0" w:color="auto"/>
        <w:right w:val="none" w:sz="0" w:space="0" w:color="auto"/>
      </w:divBdr>
      <w:divsChild>
        <w:div w:id="462116047">
          <w:marLeft w:val="446"/>
          <w:marRight w:val="0"/>
          <w:marTop w:val="0"/>
          <w:marBottom w:val="0"/>
          <w:divBdr>
            <w:top w:val="none" w:sz="0" w:space="0" w:color="auto"/>
            <w:left w:val="none" w:sz="0" w:space="0" w:color="auto"/>
            <w:bottom w:val="none" w:sz="0" w:space="0" w:color="auto"/>
            <w:right w:val="none" w:sz="0" w:space="0" w:color="auto"/>
          </w:divBdr>
        </w:div>
        <w:div w:id="612827182">
          <w:marLeft w:val="1267"/>
          <w:marRight w:val="0"/>
          <w:marTop w:val="0"/>
          <w:marBottom w:val="0"/>
          <w:divBdr>
            <w:top w:val="none" w:sz="0" w:space="0" w:color="auto"/>
            <w:left w:val="none" w:sz="0" w:space="0" w:color="auto"/>
            <w:bottom w:val="none" w:sz="0" w:space="0" w:color="auto"/>
            <w:right w:val="none" w:sz="0" w:space="0" w:color="auto"/>
          </w:divBdr>
        </w:div>
        <w:div w:id="799759997">
          <w:marLeft w:val="1267"/>
          <w:marRight w:val="0"/>
          <w:marTop w:val="0"/>
          <w:marBottom w:val="0"/>
          <w:divBdr>
            <w:top w:val="none" w:sz="0" w:space="0" w:color="auto"/>
            <w:left w:val="none" w:sz="0" w:space="0" w:color="auto"/>
            <w:bottom w:val="none" w:sz="0" w:space="0" w:color="auto"/>
            <w:right w:val="none" w:sz="0" w:space="0" w:color="auto"/>
          </w:divBdr>
        </w:div>
        <w:div w:id="1239055560">
          <w:marLeft w:val="1886"/>
          <w:marRight w:val="0"/>
          <w:marTop w:val="0"/>
          <w:marBottom w:val="0"/>
          <w:divBdr>
            <w:top w:val="none" w:sz="0" w:space="0" w:color="auto"/>
            <w:left w:val="none" w:sz="0" w:space="0" w:color="auto"/>
            <w:bottom w:val="none" w:sz="0" w:space="0" w:color="auto"/>
            <w:right w:val="none" w:sz="0" w:space="0" w:color="auto"/>
          </w:divBdr>
        </w:div>
        <w:div w:id="1667320788">
          <w:marLeft w:val="1886"/>
          <w:marRight w:val="0"/>
          <w:marTop w:val="0"/>
          <w:marBottom w:val="0"/>
          <w:divBdr>
            <w:top w:val="none" w:sz="0" w:space="0" w:color="auto"/>
            <w:left w:val="none" w:sz="0" w:space="0" w:color="auto"/>
            <w:bottom w:val="none" w:sz="0" w:space="0" w:color="auto"/>
            <w:right w:val="none" w:sz="0" w:space="0" w:color="auto"/>
          </w:divBdr>
        </w:div>
        <w:div w:id="1660571035">
          <w:marLeft w:val="1267"/>
          <w:marRight w:val="0"/>
          <w:marTop w:val="0"/>
          <w:marBottom w:val="0"/>
          <w:divBdr>
            <w:top w:val="none" w:sz="0" w:space="0" w:color="auto"/>
            <w:left w:val="none" w:sz="0" w:space="0" w:color="auto"/>
            <w:bottom w:val="none" w:sz="0" w:space="0" w:color="auto"/>
            <w:right w:val="none" w:sz="0" w:space="0" w:color="auto"/>
          </w:divBdr>
        </w:div>
        <w:div w:id="2048141568">
          <w:marLeft w:val="1886"/>
          <w:marRight w:val="0"/>
          <w:marTop w:val="0"/>
          <w:marBottom w:val="0"/>
          <w:divBdr>
            <w:top w:val="none" w:sz="0" w:space="0" w:color="auto"/>
            <w:left w:val="none" w:sz="0" w:space="0" w:color="auto"/>
            <w:bottom w:val="none" w:sz="0" w:space="0" w:color="auto"/>
            <w:right w:val="none" w:sz="0" w:space="0" w:color="auto"/>
          </w:divBdr>
        </w:div>
        <w:div w:id="1955013180">
          <w:marLeft w:val="1886"/>
          <w:marRight w:val="0"/>
          <w:marTop w:val="0"/>
          <w:marBottom w:val="0"/>
          <w:divBdr>
            <w:top w:val="none" w:sz="0" w:space="0" w:color="auto"/>
            <w:left w:val="none" w:sz="0" w:space="0" w:color="auto"/>
            <w:bottom w:val="none" w:sz="0" w:space="0" w:color="auto"/>
            <w:right w:val="none" w:sz="0" w:space="0" w:color="auto"/>
          </w:divBdr>
        </w:div>
        <w:div w:id="1779831296">
          <w:marLeft w:val="1267"/>
          <w:marRight w:val="0"/>
          <w:marTop w:val="0"/>
          <w:marBottom w:val="0"/>
          <w:divBdr>
            <w:top w:val="none" w:sz="0" w:space="0" w:color="auto"/>
            <w:left w:val="none" w:sz="0" w:space="0" w:color="auto"/>
            <w:bottom w:val="none" w:sz="0" w:space="0" w:color="auto"/>
            <w:right w:val="none" w:sz="0" w:space="0" w:color="auto"/>
          </w:divBdr>
        </w:div>
        <w:div w:id="2111244043">
          <w:marLeft w:val="1886"/>
          <w:marRight w:val="0"/>
          <w:marTop w:val="0"/>
          <w:marBottom w:val="0"/>
          <w:divBdr>
            <w:top w:val="none" w:sz="0" w:space="0" w:color="auto"/>
            <w:left w:val="none" w:sz="0" w:space="0" w:color="auto"/>
            <w:bottom w:val="none" w:sz="0" w:space="0" w:color="auto"/>
            <w:right w:val="none" w:sz="0" w:space="0" w:color="auto"/>
          </w:divBdr>
        </w:div>
        <w:div w:id="1343514185">
          <w:marLeft w:val="1267"/>
          <w:marRight w:val="0"/>
          <w:marTop w:val="0"/>
          <w:marBottom w:val="0"/>
          <w:divBdr>
            <w:top w:val="none" w:sz="0" w:space="0" w:color="auto"/>
            <w:left w:val="none" w:sz="0" w:space="0" w:color="auto"/>
            <w:bottom w:val="none" w:sz="0" w:space="0" w:color="auto"/>
            <w:right w:val="none" w:sz="0" w:space="0" w:color="auto"/>
          </w:divBdr>
        </w:div>
        <w:div w:id="14885636">
          <w:marLeft w:val="446"/>
          <w:marRight w:val="0"/>
          <w:marTop w:val="0"/>
          <w:marBottom w:val="0"/>
          <w:divBdr>
            <w:top w:val="none" w:sz="0" w:space="0" w:color="auto"/>
            <w:left w:val="none" w:sz="0" w:space="0" w:color="auto"/>
            <w:bottom w:val="none" w:sz="0" w:space="0" w:color="auto"/>
            <w:right w:val="none" w:sz="0" w:space="0" w:color="auto"/>
          </w:divBdr>
        </w:div>
        <w:div w:id="1993637760">
          <w:marLeft w:val="1166"/>
          <w:marRight w:val="0"/>
          <w:marTop w:val="0"/>
          <w:marBottom w:val="0"/>
          <w:divBdr>
            <w:top w:val="none" w:sz="0" w:space="0" w:color="auto"/>
            <w:left w:val="none" w:sz="0" w:space="0" w:color="auto"/>
            <w:bottom w:val="none" w:sz="0" w:space="0" w:color="auto"/>
            <w:right w:val="none" w:sz="0" w:space="0" w:color="auto"/>
          </w:divBdr>
        </w:div>
        <w:div w:id="1391272493">
          <w:marLeft w:val="1886"/>
          <w:marRight w:val="0"/>
          <w:marTop w:val="0"/>
          <w:marBottom w:val="0"/>
          <w:divBdr>
            <w:top w:val="none" w:sz="0" w:space="0" w:color="auto"/>
            <w:left w:val="none" w:sz="0" w:space="0" w:color="auto"/>
            <w:bottom w:val="none" w:sz="0" w:space="0" w:color="auto"/>
            <w:right w:val="none" w:sz="0" w:space="0" w:color="auto"/>
          </w:divBdr>
        </w:div>
        <w:div w:id="488327164">
          <w:marLeft w:val="1886"/>
          <w:marRight w:val="0"/>
          <w:marTop w:val="0"/>
          <w:marBottom w:val="0"/>
          <w:divBdr>
            <w:top w:val="none" w:sz="0" w:space="0" w:color="auto"/>
            <w:left w:val="none" w:sz="0" w:space="0" w:color="auto"/>
            <w:bottom w:val="none" w:sz="0" w:space="0" w:color="auto"/>
            <w:right w:val="none" w:sz="0" w:space="0" w:color="auto"/>
          </w:divBdr>
        </w:div>
        <w:div w:id="1494298464">
          <w:marLeft w:val="1886"/>
          <w:marRight w:val="0"/>
          <w:marTop w:val="0"/>
          <w:marBottom w:val="0"/>
          <w:divBdr>
            <w:top w:val="none" w:sz="0" w:space="0" w:color="auto"/>
            <w:left w:val="none" w:sz="0" w:space="0" w:color="auto"/>
            <w:bottom w:val="none" w:sz="0" w:space="0" w:color="auto"/>
            <w:right w:val="none" w:sz="0" w:space="0" w:color="auto"/>
          </w:divBdr>
        </w:div>
        <w:div w:id="977490448">
          <w:marLeft w:val="1166"/>
          <w:marRight w:val="0"/>
          <w:marTop w:val="0"/>
          <w:marBottom w:val="0"/>
          <w:divBdr>
            <w:top w:val="none" w:sz="0" w:space="0" w:color="auto"/>
            <w:left w:val="none" w:sz="0" w:space="0" w:color="auto"/>
            <w:bottom w:val="none" w:sz="0" w:space="0" w:color="auto"/>
            <w:right w:val="none" w:sz="0" w:space="0" w:color="auto"/>
          </w:divBdr>
        </w:div>
        <w:div w:id="388118486">
          <w:marLeft w:val="1886"/>
          <w:marRight w:val="0"/>
          <w:marTop w:val="0"/>
          <w:marBottom w:val="0"/>
          <w:divBdr>
            <w:top w:val="none" w:sz="0" w:space="0" w:color="auto"/>
            <w:left w:val="none" w:sz="0" w:space="0" w:color="auto"/>
            <w:bottom w:val="none" w:sz="0" w:space="0" w:color="auto"/>
            <w:right w:val="none" w:sz="0" w:space="0" w:color="auto"/>
          </w:divBdr>
        </w:div>
        <w:div w:id="376203462">
          <w:marLeft w:val="1886"/>
          <w:marRight w:val="0"/>
          <w:marTop w:val="0"/>
          <w:marBottom w:val="0"/>
          <w:divBdr>
            <w:top w:val="none" w:sz="0" w:space="0" w:color="auto"/>
            <w:left w:val="none" w:sz="0" w:space="0" w:color="auto"/>
            <w:bottom w:val="none" w:sz="0" w:space="0" w:color="auto"/>
            <w:right w:val="none" w:sz="0" w:space="0" w:color="auto"/>
          </w:divBdr>
        </w:div>
        <w:div w:id="1886485308">
          <w:marLeft w:val="1886"/>
          <w:marRight w:val="0"/>
          <w:marTop w:val="0"/>
          <w:marBottom w:val="0"/>
          <w:divBdr>
            <w:top w:val="none" w:sz="0" w:space="0" w:color="auto"/>
            <w:left w:val="none" w:sz="0" w:space="0" w:color="auto"/>
            <w:bottom w:val="none" w:sz="0" w:space="0" w:color="auto"/>
            <w:right w:val="none" w:sz="0" w:space="0" w:color="auto"/>
          </w:divBdr>
        </w:div>
        <w:div w:id="1094134548">
          <w:marLeft w:val="1166"/>
          <w:marRight w:val="0"/>
          <w:marTop w:val="0"/>
          <w:marBottom w:val="0"/>
          <w:divBdr>
            <w:top w:val="none" w:sz="0" w:space="0" w:color="auto"/>
            <w:left w:val="none" w:sz="0" w:space="0" w:color="auto"/>
            <w:bottom w:val="none" w:sz="0" w:space="0" w:color="auto"/>
            <w:right w:val="none" w:sz="0" w:space="0" w:color="auto"/>
          </w:divBdr>
        </w:div>
        <w:div w:id="849609988">
          <w:marLeft w:val="1886"/>
          <w:marRight w:val="0"/>
          <w:marTop w:val="0"/>
          <w:marBottom w:val="0"/>
          <w:divBdr>
            <w:top w:val="none" w:sz="0" w:space="0" w:color="auto"/>
            <w:left w:val="none" w:sz="0" w:space="0" w:color="auto"/>
            <w:bottom w:val="none" w:sz="0" w:space="0" w:color="auto"/>
            <w:right w:val="none" w:sz="0" w:space="0" w:color="auto"/>
          </w:divBdr>
        </w:div>
        <w:div w:id="304746567">
          <w:marLeft w:val="1886"/>
          <w:marRight w:val="0"/>
          <w:marTop w:val="0"/>
          <w:marBottom w:val="0"/>
          <w:divBdr>
            <w:top w:val="none" w:sz="0" w:space="0" w:color="auto"/>
            <w:left w:val="none" w:sz="0" w:space="0" w:color="auto"/>
            <w:bottom w:val="none" w:sz="0" w:space="0" w:color="auto"/>
            <w:right w:val="none" w:sz="0" w:space="0" w:color="auto"/>
          </w:divBdr>
        </w:div>
        <w:div w:id="1094016562">
          <w:marLeft w:val="1886"/>
          <w:marRight w:val="0"/>
          <w:marTop w:val="0"/>
          <w:marBottom w:val="0"/>
          <w:divBdr>
            <w:top w:val="none" w:sz="0" w:space="0" w:color="auto"/>
            <w:left w:val="none" w:sz="0" w:space="0" w:color="auto"/>
            <w:bottom w:val="none" w:sz="0" w:space="0" w:color="auto"/>
            <w:right w:val="none" w:sz="0" w:space="0" w:color="auto"/>
          </w:divBdr>
        </w:div>
      </w:divsChild>
    </w:div>
    <w:div w:id="1295603146">
      <w:bodyDiv w:val="1"/>
      <w:marLeft w:val="0"/>
      <w:marRight w:val="0"/>
      <w:marTop w:val="0"/>
      <w:marBottom w:val="0"/>
      <w:divBdr>
        <w:top w:val="none" w:sz="0" w:space="0" w:color="auto"/>
        <w:left w:val="none" w:sz="0" w:space="0" w:color="auto"/>
        <w:bottom w:val="none" w:sz="0" w:space="0" w:color="auto"/>
        <w:right w:val="none" w:sz="0" w:space="0" w:color="auto"/>
      </w:divBdr>
      <w:divsChild>
        <w:div w:id="1214542842">
          <w:marLeft w:val="446"/>
          <w:marRight w:val="0"/>
          <w:marTop w:val="0"/>
          <w:marBottom w:val="0"/>
          <w:divBdr>
            <w:top w:val="none" w:sz="0" w:space="0" w:color="auto"/>
            <w:left w:val="none" w:sz="0" w:space="0" w:color="auto"/>
            <w:bottom w:val="none" w:sz="0" w:space="0" w:color="auto"/>
            <w:right w:val="none" w:sz="0" w:space="0" w:color="auto"/>
          </w:divBdr>
        </w:div>
        <w:div w:id="503591468">
          <w:marLeft w:val="1166"/>
          <w:marRight w:val="0"/>
          <w:marTop w:val="0"/>
          <w:marBottom w:val="0"/>
          <w:divBdr>
            <w:top w:val="none" w:sz="0" w:space="0" w:color="auto"/>
            <w:left w:val="none" w:sz="0" w:space="0" w:color="auto"/>
            <w:bottom w:val="none" w:sz="0" w:space="0" w:color="auto"/>
            <w:right w:val="none" w:sz="0" w:space="0" w:color="auto"/>
          </w:divBdr>
        </w:div>
        <w:div w:id="1016539865">
          <w:marLeft w:val="1166"/>
          <w:marRight w:val="0"/>
          <w:marTop w:val="0"/>
          <w:marBottom w:val="0"/>
          <w:divBdr>
            <w:top w:val="none" w:sz="0" w:space="0" w:color="auto"/>
            <w:left w:val="none" w:sz="0" w:space="0" w:color="auto"/>
            <w:bottom w:val="none" w:sz="0" w:space="0" w:color="auto"/>
            <w:right w:val="none" w:sz="0" w:space="0" w:color="auto"/>
          </w:divBdr>
        </w:div>
        <w:div w:id="1276599039">
          <w:marLeft w:val="1166"/>
          <w:marRight w:val="0"/>
          <w:marTop w:val="0"/>
          <w:marBottom w:val="0"/>
          <w:divBdr>
            <w:top w:val="none" w:sz="0" w:space="0" w:color="auto"/>
            <w:left w:val="none" w:sz="0" w:space="0" w:color="auto"/>
            <w:bottom w:val="none" w:sz="0" w:space="0" w:color="auto"/>
            <w:right w:val="none" w:sz="0" w:space="0" w:color="auto"/>
          </w:divBdr>
        </w:div>
        <w:div w:id="714506174">
          <w:marLeft w:val="2606"/>
          <w:marRight w:val="0"/>
          <w:marTop w:val="0"/>
          <w:marBottom w:val="0"/>
          <w:divBdr>
            <w:top w:val="none" w:sz="0" w:space="0" w:color="auto"/>
            <w:left w:val="none" w:sz="0" w:space="0" w:color="auto"/>
            <w:bottom w:val="none" w:sz="0" w:space="0" w:color="auto"/>
            <w:right w:val="none" w:sz="0" w:space="0" w:color="auto"/>
          </w:divBdr>
        </w:div>
        <w:div w:id="1088841937">
          <w:marLeft w:val="446"/>
          <w:marRight w:val="0"/>
          <w:marTop w:val="0"/>
          <w:marBottom w:val="0"/>
          <w:divBdr>
            <w:top w:val="none" w:sz="0" w:space="0" w:color="auto"/>
            <w:left w:val="none" w:sz="0" w:space="0" w:color="auto"/>
            <w:bottom w:val="none" w:sz="0" w:space="0" w:color="auto"/>
            <w:right w:val="none" w:sz="0" w:space="0" w:color="auto"/>
          </w:divBdr>
        </w:div>
        <w:div w:id="1547058682">
          <w:marLeft w:val="446"/>
          <w:marRight w:val="0"/>
          <w:marTop w:val="0"/>
          <w:marBottom w:val="0"/>
          <w:divBdr>
            <w:top w:val="none" w:sz="0" w:space="0" w:color="auto"/>
            <w:left w:val="none" w:sz="0" w:space="0" w:color="auto"/>
            <w:bottom w:val="none" w:sz="0" w:space="0" w:color="auto"/>
            <w:right w:val="none" w:sz="0" w:space="0" w:color="auto"/>
          </w:divBdr>
        </w:div>
      </w:divsChild>
    </w:div>
    <w:div w:id="1388607632">
      <w:bodyDiv w:val="1"/>
      <w:marLeft w:val="0"/>
      <w:marRight w:val="0"/>
      <w:marTop w:val="0"/>
      <w:marBottom w:val="0"/>
      <w:divBdr>
        <w:top w:val="none" w:sz="0" w:space="0" w:color="auto"/>
        <w:left w:val="none" w:sz="0" w:space="0" w:color="auto"/>
        <w:bottom w:val="none" w:sz="0" w:space="0" w:color="auto"/>
        <w:right w:val="none" w:sz="0" w:space="0" w:color="auto"/>
      </w:divBdr>
      <w:divsChild>
        <w:div w:id="1744139205">
          <w:marLeft w:val="446"/>
          <w:marRight w:val="0"/>
          <w:marTop w:val="0"/>
          <w:marBottom w:val="0"/>
          <w:divBdr>
            <w:top w:val="none" w:sz="0" w:space="0" w:color="auto"/>
            <w:left w:val="none" w:sz="0" w:space="0" w:color="auto"/>
            <w:bottom w:val="none" w:sz="0" w:space="0" w:color="auto"/>
            <w:right w:val="none" w:sz="0" w:space="0" w:color="auto"/>
          </w:divBdr>
        </w:div>
        <w:div w:id="1772042117">
          <w:marLeft w:val="1267"/>
          <w:marRight w:val="0"/>
          <w:marTop w:val="0"/>
          <w:marBottom w:val="0"/>
          <w:divBdr>
            <w:top w:val="none" w:sz="0" w:space="0" w:color="auto"/>
            <w:left w:val="none" w:sz="0" w:space="0" w:color="auto"/>
            <w:bottom w:val="none" w:sz="0" w:space="0" w:color="auto"/>
            <w:right w:val="none" w:sz="0" w:space="0" w:color="auto"/>
          </w:divBdr>
        </w:div>
        <w:div w:id="179198402">
          <w:marLeft w:val="1267"/>
          <w:marRight w:val="0"/>
          <w:marTop w:val="0"/>
          <w:marBottom w:val="0"/>
          <w:divBdr>
            <w:top w:val="none" w:sz="0" w:space="0" w:color="auto"/>
            <w:left w:val="none" w:sz="0" w:space="0" w:color="auto"/>
            <w:bottom w:val="none" w:sz="0" w:space="0" w:color="auto"/>
            <w:right w:val="none" w:sz="0" w:space="0" w:color="auto"/>
          </w:divBdr>
        </w:div>
        <w:div w:id="563638585">
          <w:marLeft w:val="1886"/>
          <w:marRight w:val="0"/>
          <w:marTop w:val="0"/>
          <w:marBottom w:val="0"/>
          <w:divBdr>
            <w:top w:val="none" w:sz="0" w:space="0" w:color="auto"/>
            <w:left w:val="none" w:sz="0" w:space="0" w:color="auto"/>
            <w:bottom w:val="none" w:sz="0" w:space="0" w:color="auto"/>
            <w:right w:val="none" w:sz="0" w:space="0" w:color="auto"/>
          </w:divBdr>
        </w:div>
        <w:div w:id="48921776">
          <w:marLeft w:val="1886"/>
          <w:marRight w:val="0"/>
          <w:marTop w:val="0"/>
          <w:marBottom w:val="0"/>
          <w:divBdr>
            <w:top w:val="none" w:sz="0" w:space="0" w:color="auto"/>
            <w:left w:val="none" w:sz="0" w:space="0" w:color="auto"/>
            <w:bottom w:val="none" w:sz="0" w:space="0" w:color="auto"/>
            <w:right w:val="none" w:sz="0" w:space="0" w:color="auto"/>
          </w:divBdr>
        </w:div>
        <w:div w:id="1007903892">
          <w:marLeft w:val="1267"/>
          <w:marRight w:val="0"/>
          <w:marTop w:val="0"/>
          <w:marBottom w:val="0"/>
          <w:divBdr>
            <w:top w:val="none" w:sz="0" w:space="0" w:color="auto"/>
            <w:left w:val="none" w:sz="0" w:space="0" w:color="auto"/>
            <w:bottom w:val="none" w:sz="0" w:space="0" w:color="auto"/>
            <w:right w:val="none" w:sz="0" w:space="0" w:color="auto"/>
          </w:divBdr>
        </w:div>
        <w:div w:id="151065554">
          <w:marLeft w:val="1886"/>
          <w:marRight w:val="0"/>
          <w:marTop w:val="0"/>
          <w:marBottom w:val="0"/>
          <w:divBdr>
            <w:top w:val="none" w:sz="0" w:space="0" w:color="auto"/>
            <w:left w:val="none" w:sz="0" w:space="0" w:color="auto"/>
            <w:bottom w:val="none" w:sz="0" w:space="0" w:color="auto"/>
            <w:right w:val="none" w:sz="0" w:space="0" w:color="auto"/>
          </w:divBdr>
        </w:div>
        <w:div w:id="2090157514">
          <w:marLeft w:val="1886"/>
          <w:marRight w:val="0"/>
          <w:marTop w:val="0"/>
          <w:marBottom w:val="0"/>
          <w:divBdr>
            <w:top w:val="none" w:sz="0" w:space="0" w:color="auto"/>
            <w:left w:val="none" w:sz="0" w:space="0" w:color="auto"/>
            <w:bottom w:val="none" w:sz="0" w:space="0" w:color="auto"/>
            <w:right w:val="none" w:sz="0" w:space="0" w:color="auto"/>
          </w:divBdr>
        </w:div>
        <w:div w:id="271934286">
          <w:marLeft w:val="1267"/>
          <w:marRight w:val="0"/>
          <w:marTop w:val="0"/>
          <w:marBottom w:val="0"/>
          <w:divBdr>
            <w:top w:val="none" w:sz="0" w:space="0" w:color="auto"/>
            <w:left w:val="none" w:sz="0" w:space="0" w:color="auto"/>
            <w:bottom w:val="none" w:sz="0" w:space="0" w:color="auto"/>
            <w:right w:val="none" w:sz="0" w:space="0" w:color="auto"/>
          </w:divBdr>
        </w:div>
        <w:div w:id="166285794">
          <w:marLeft w:val="1886"/>
          <w:marRight w:val="0"/>
          <w:marTop w:val="0"/>
          <w:marBottom w:val="0"/>
          <w:divBdr>
            <w:top w:val="none" w:sz="0" w:space="0" w:color="auto"/>
            <w:left w:val="none" w:sz="0" w:space="0" w:color="auto"/>
            <w:bottom w:val="none" w:sz="0" w:space="0" w:color="auto"/>
            <w:right w:val="none" w:sz="0" w:space="0" w:color="auto"/>
          </w:divBdr>
        </w:div>
        <w:div w:id="1146163234">
          <w:marLeft w:val="1267"/>
          <w:marRight w:val="0"/>
          <w:marTop w:val="0"/>
          <w:marBottom w:val="0"/>
          <w:divBdr>
            <w:top w:val="none" w:sz="0" w:space="0" w:color="auto"/>
            <w:left w:val="none" w:sz="0" w:space="0" w:color="auto"/>
            <w:bottom w:val="none" w:sz="0" w:space="0" w:color="auto"/>
            <w:right w:val="none" w:sz="0" w:space="0" w:color="auto"/>
          </w:divBdr>
        </w:div>
        <w:div w:id="1201549090">
          <w:marLeft w:val="446"/>
          <w:marRight w:val="0"/>
          <w:marTop w:val="0"/>
          <w:marBottom w:val="0"/>
          <w:divBdr>
            <w:top w:val="none" w:sz="0" w:space="0" w:color="auto"/>
            <w:left w:val="none" w:sz="0" w:space="0" w:color="auto"/>
            <w:bottom w:val="none" w:sz="0" w:space="0" w:color="auto"/>
            <w:right w:val="none" w:sz="0" w:space="0" w:color="auto"/>
          </w:divBdr>
        </w:div>
        <w:div w:id="1027294778">
          <w:marLeft w:val="1166"/>
          <w:marRight w:val="0"/>
          <w:marTop w:val="0"/>
          <w:marBottom w:val="0"/>
          <w:divBdr>
            <w:top w:val="none" w:sz="0" w:space="0" w:color="auto"/>
            <w:left w:val="none" w:sz="0" w:space="0" w:color="auto"/>
            <w:bottom w:val="none" w:sz="0" w:space="0" w:color="auto"/>
            <w:right w:val="none" w:sz="0" w:space="0" w:color="auto"/>
          </w:divBdr>
        </w:div>
        <w:div w:id="1078476745">
          <w:marLeft w:val="1886"/>
          <w:marRight w:val="0"/>
          <w:marTop w:val="0"/>
          <w:marBottom w:val="0"/>
          <w:divBdr>
            <w:top w:val="none" w:sz="0" w:space="0" w:color="auto"/>
            <w:left w:val="none" w:sz="0" w:space="0" w:color="auto"/>
            <w:bottom w:val="none" w:sz="0" w:space="0" w:color="auto"/>
            <w:right w:val="none" w:sz="0" w:space="0" w:color="auto"/>
          </w:divBdr>
        </w:div>
        <w:div w:id="1368094525">
          <w:marLeft w:val="1886"/>
          <w:marRight w:val="0"/>
          <w:marTop w:val="0"/>
          <w:marBottom w:val="0"/>
          <w:divBdr>
            <w:top w:val="none" w:sz="0" w:space="0" w:color="auto"/>
            <w:left w:val="none" w:sz="0" w:space="0" w:color="auto"/>
            <w:bottom w:val="none" w:sz="0" w:space="0" w:color="auto"/>
            <w:right w:val="none" w:sz="0" w:space="0" w:color="auto"/>
          </w:divBdr>
        </w:div>
        <w:div w:id="1312057310">
          <w:marLeft w:val="1886"/>
          <w:marRight w:val="0"/>
          <w:marTop w:val="0"/>
          <w:marBottom w:val="0"/>
          <w:divBdr>
            <w:top w:val="none" w:sz="0" w:space="0" w:color="auto"/>
            <w:left w:val="none" w:sz="0" w:space="0" w:color="auto"/>
            <w:bottom w:val="none" w:sz="0" w:space="0" w:color="auto"/>
            <w:right w:val="none" w:sz="0" w:space="0" w:color="auto"/>
          </w:divBdr>
        </w:div>
        <w:div w:id="606811140">
          <w:marLeft w:val="1166"/>
          <w:marRight w:val="0"/>
          <w:marTop w:val="0"/>
          <w:marBottom w:val="0"/>
          <w:divBdr>
            <w:top w:val="none" w:sz="0" w:space="0" w:color="auto"/>
            <w:left w:val="none" w:sz="0" w:space="0" w:color="auto"/>
            <w:bottom w:val="none" w:sz="0" w:space="0" w:color="auto"/>
            <w:right w:val="none" w:sz="0" w:space="0" w:color="auto"/>
          </w:divBdr>
        </w:div>
        <w:div w:id="1353994767">
          <w:marLeft w:val="1886"/>
          <w:marRight w:val="0"/>
          <w:marTop w:val="0"/>
          <w:marBottom w:val="0"/>
          <w:divBdr>
            <w:top w:val="none" w:sz="0" w:space="0" w:color="auto"/>
            <w:left w:val="none" w:sz="0" w:space="0" w:color="auto"/>
            <w:bottom w:val="none" w:sz="0" w:space="0" w:color="auto"/>
            <w:right w:val="none" w:sz="0" w:space="0" w:color="auto"/>
          </w:divBdr>
        </w:div>
        <w:div w:id="773523492">
          <w:marLeft w:val="1886"/>
          <w:marRight w:val="0"/>
          <w:marTop w:val="0"/>
          <w:marBottom w:val="0"/>
          <w:divBdr>
            <w:top w:val="none" w:sz="0" w:space="0" w:color="auto"/>
            <w:left w:val="none" w:sz="0" w:space="0" w:color="auto"/>
            <w:bottom w:val="none" w:sz="0" w:space="0" w:color="auto"/>
            <w:right w:val="none" w:sz="0" w:space="0" w:color="auto"/>
          </w:divBdr>
        </w:div>
        <w:div w:id="214466325">
          <w:marLeft w:val="1886"/>
          <w:marRight w:val="0"/>
          <w:marTop w:val="0"/>
          <w:marBottom w:val="0"/>
          <w:divBdr>
            <w:top w:val="none" w:sz="0" w:space="0" w:color="auto"/>
            <w:left w:val="none" w:sz="0" w:space="0" w:color="auto"/>
            <w:bottom w:val="none" w:sz="0" w:space="0" w:color="auto"/>
            <w:right w:val="none" w:sz="0" w:space="0" w:color="auto"/>
          </w:divBdr>
        </w:div>
        <w:div w:id="792557446">
          <w:marLeft w:val="1166"/>
          <w:marRight w:val="0"/>
          <w:marTop w:val="0"/>
          <w:marBottom w:val="0"/>
          <w:divBdr>
            <w:top w:val="none" w:sz="0" w:space="0" w:color="auto"/>
            <w:left w:val="none" w:sz="0" w:space="0" w:color="auto"/>
            <w:bottom w:val="none" w:sz="0" w:space="0" w:color="auto"/>
            <w:right w:val="none" w:sz="0" w:space="0" w:color="auto"/>
          </w:divBdr>
        </w:div>
        <w:div w:id="1398044479">
          <w:marLeft w:val="1886"/>
          <w:marRight w:val="0"/>
          <w:marTop w:val="0"/>
          <w:marBottom w:val="0"/>
          <w:divBdr>
            <w:top w:val="none" w:sz="0" w:space="0" w:color="auto"/>
            <w:left w:val="none" w:sz="0" w:space="0" w:color="auto"/>
            <w:bottom w:val="none" w:sz="0" w:space="0" w:color="auto"/>
            <w:right w:val="none" w:sz="0" w:space="0" w:color="auto"/>
          </w:divBdr>
        </w:div>
        <w:div w:id="185945570">
          <w:marLeft w:val="1886"/>
          <w:marRight w:val="0"/>
          <w:marTop w:val="0"/>
          <w:marBottom w:val="0"/>
          <w:divBdr>
            <w:top w:val="none" w:sz="0" w:space="0" w:color="auto"/>
            <w:left w:val="none" w:sz="0" w:space="0" w:color="auto"/>
            <w:bottom w:val="none" w:sz="0" w:space="0" w:color="auto"/>
            <w:right w:val="none" w:sz="0" w:space="0" w:color="auto"/>
          </w:divBdr>
        </w:div>
        <w:div w:id="1767769481">
          <w:marLeft w:val="1886"/>
          <w:marRight w:val="0"/>
          <w:marTop w:val="0"/>
          <w:marBottom w:val="0"/>
          <w:divBdr>
            <w:top w:val="none" w:sz="0" w:space="0" w:color="auto"/>
            <w:left w:val="none" w:sz="0" w:space="0" w:color="auto"/>
            <w:bottom w:val="none" w:sz="0" w:space="0" w:color="auto"/>
            <w:right w:val="none" w:sz="0" w:space="0" w:color="auto"/>
          </w:divBdr>
        </w:div>
      </w:divsChild>
    </w:div>
    <w:div w:id="1430158087">
      <w:bodyDiv w:val="1"/>
      <w:marLeft w:val="0"/>
      <w:marRight w:val="0"/>
      <w:marTop w:val="0"/>
      <w:marBottom w:val="0"/>
      <w:divBdr>
        <w:top w:val="none" w:sz="0" w:space="0" w:color="auto"/>
        <w:left w:val="none" w:sz="0" w:space="0" w:color="auto"/>
        <w:bottom w:val="none" w:sz="0" w:space="0" w:color="auto"/>
        <w:right w:val="none" w:sz="0" w:space="0" w:color="auto"/>
      </w:divBdr>
    </w:div>
    <w:div w:id="1582369673">
      <w:bodyDiv w:val="1"/>
      <w:marLeft w:val="0"/>
      <w:marRight w:val="0"/>
      <w:marTop w:val="0"/>
      <w:marBottom w:val="0"/>
      <w:divBdr>
        <w:top w:val="none" w:sz="0" w:space="0" w:color="auto"/>
        <w:left w:val="none" w:sz="0" w:space="0" w:color="auto"/>
        <w:bottom w:val="none" w:sz="0" w:space="0" w:color="auto"/>
        <w:right w:val="none" w:sz="0" w:space="0" w:color="auto"/>
      </w:divBdr>
      <w:divsChild>
        <w:div w:id="2036231483">
          <w:marLeft w:val="446"/>
          <w:marRight w:val="0"/>
          <w:marTop w:val="0"/>
          <w:marBottom w:val="0"/>
          <w:divBdr>
            <w:top w:val="none" w:sz="0" w:space="0" w:color="auto"/>
            <w:left w:val="none" w:sz="0" w:space="0" w:color="auto"/>
            <w:bottom w:val="none" w:sz="0" w:space="0" w:color="auto"/>
            <w:right w:val="none" w:sz="0" w:space="0" w:color="auto"/>
          </w:divBdr>
        </w:div>
        <w:div w:id="513886823">
          <w:marLeft w:val="1267"/>
          <w:marRight w:val="0"/>
          <w:marTop w:val="0"/>
          <w:marBottom w:val="0"/>
          <w:divBdr>
            <w:top w:val="none" w:sz="0" w:space="0" w:color="auto"/>
            <w:left w:val="none" w:sz="0" w:space="0" w:color="auto"/>
            <w:bottom w:val="none" w:sz="0" w:space="0" w:color="auto"/>
            <w:right w:val="none" w:sz="0" w:space="0" w:color="auto"/>
          </w:divBdr>
        </w:div>
        <w:div w:id="650184395">
          <w:marLeft w:val="1267"/>
          <w:marRight w:val="0"/>
          <w:marTop w:val="0"/>
          <w:marBottom w:val="0"/>
          <w:divBdr>
            <w:top w:val="none" w:sz="0" w:space="0" w:color="auto"/>
            <w:left w:val="none" w:sz="0" w:space="0" w:color="auto"/>
            <w:bottom w:val="none" w:sz="0" w:space="0" w:color="auto"/>
            <w:right w:val="none" w:sz="0" w:space="0" w:color="auto"/>
          </w:divBdr>
        </w:div>
        <w:div w:id="1074668691">
          <w:marLeft w:val="1886"/>
          <w:marRight w:val="0"/>
          <w:marTop w:val="0"/>
          <w:marBottom w:val="0"/>
          <w:divBdr>
            <w:top w:val="none" w:sz="0" w:space="0" w:color="auto"/>
            <w:left w:val="none" w:sz="0" w:space="0" w:color="auto"/>
            <w:bottom w:val="none" w:sz="0" w:space="0" w:color="auto"/>
            <w:right w:val="none" w:sz="0" w:space="0" w:color="auto"/>
          </w:divBdr>
        </w:div>
        <w:div w:id="1949584328">
          <w:marLeft w:val="1886"/>
          <w:marRight w:val="0"/>
          <w:marTop w:val="0"/>
          <w:marBottom w:val="0"/>
          <w:divBdr>
            <w:top w:val="none" w:sz="0" w:space="0" w:color="auto"/>
            <w:left w:val="none" w:sz="0" w:space="0" w:color="auto"/>
            <w:bottom w:val="none" w:sz="0" w:space="0" w:color="auto"/>
            <w:right w:val="none" w:sz="0" w:space="0" w:color="auto"/>
          </w:divBdr>
        </w:div>
        <w:div w:id="786657219">
          <w:marLeft w:val="1267"/>
          <w:marRight w:val="0"/>
          <w:marTop w:val="0"/>
          <w:marBottom w:val="0"/>
          <w:divBdr>
            <w:top w:val="none" w:sz="0" w:space="0" w:color="auto"/>
            <w:left w:val="none" w:sz="0" w:space="0" w:color="auto"/>
            <w:bottom w:val="none" w:sz="0" w:space="0" w:color="auto"/>
            <w:right w:val="none" w:sz="0" w:space="0" w:color="auto"/>
          </w:divBdr>
        </w:div>
        <w:div w:id="88046850">
          <w:marLeft w:val="1886"/>
          <w:marRight w:val="0"/>
          <w:marTop w:val="0"/>
          <w:marBottom w:val="0"/>
          <w:divBdr>
            <w:top w:val="none" w:sz="0" w:space="0" w:color="auto"/>
            <w:left w:val="none" w:sz="0" w:space="0" w:color="auto"/>
            <w:bottom w:val="none" w:sz="0" w:space="0" w:color="auto"/>
            <w:right w:val="none" w:sz="0" w:space="0" w:color="auto"/>
          </w:divBdr>
        </w:div>
        <w:div w:id="1471944959">
          <w:marLeft w:val="1886"/>
          <w:marRight w:val="0"/>
          <w:marTop w:val="0"/>
          <w:marBottom w:val="0"/>
          <w:divBdr>
            <w:top w:val="none" w:sz="0" w:space="0" w:color="auto"/>
            <w:left w:val="none" w:sz="0" w:space="0" w:color="auto"/>
            <w:bottom w:val="none" w:sz="0" w:space="0" w:color="auto"/>
            <w:right w:val="none" w:sz="0" w:space="0" w:color="auto"/>
          </w:divBdr>
        </w:div>
        <w:div w:id="1861233082">
          <w:marLeft w:val="1267"/>
          <w:marRight w:val="0"/>
          <w:marTop w:val="0"/>
          <w:marBottom w:val="0"/>
          <w:divBdr>
            <w:top w:val="none" w:sz="0" w:space="0" w:color="auto"/>
            <w:left w:val="none" w:sz="0" w:space="0" w:color="auto"/>
            <w:bottom w:val="none" w:sz="0" w:space="0" w:color="auto"/>
            <w:right w:val="none" w:sz="0" w:space="0" w:color="auto"/>
          </w:divBdr>
        </w:div>
        <w:div w:id="107435632">
          <w:marLeft w:val="1886"/>
          <w:marRight w:val="0"/>
          <w:marTop w:val="0"/>
          <w:marBottom w:val="0"/>
          <w:divBdr>
            <w:top w:val="none" w:sz="0" w:space="0" w:color="auto"/>
            <w:left w:val="none" w:sz="0" w:space="0" w:color="auto"/>
            <w:bottom w:val="none" w:sz="0" w:space="0" w:color="auto"/>
            <w:right w:val="none" w:sz="0" w:space="0" w:color="auto"/>
          </w:divBdr>
        </w:div>
        <w:div w:id="1488742863">
          <w:marLeft w:val="1267"/>
          <w:marRight w:val="0"/>
          <w:marTop w:val="0"/>
          <w:marBottom w:val="0"/>
          <w:divBdr>
            <w:top w:val="none" w:sz="0" w:space="0" w:color="auto"/>
            <w:left w:val="none" w:sz="0" w:space="0" w:color="auto"/>
            <w:bottom w:val="none" w:sz="0" w:space="0" w:color="auto"/>
            <w:right w:val="none" w:sz="0" w:space="0" w:color="auto"/>
          </w:divBdr>
        </w:div>
        <w:div w:id="1266577096">
          <w:marLeft w:val="446"/>
          <w:marRight w:val="0"/>
          <w:marTop w:val="0"/>
          <w:marBottom w:val="0"/>
          <w:divBdr>
            <w:top w:val="none" w:sz="0" w:space="0" w:color="auto"/>
            <w:left w:val="none" w:sz="0" w:space="0" w:color="auto"/>
            <w:bottom w:val="none" w:sz="0" w:space="0" w:color="auto"/>
            <w:right w:val="none" w:sz="0" w:space="0" w:color="auto"/>
          </w:divBdr>
        </w:div>
        <w:div w:id="349920344">
          <w:marLeft w:val="1166"/>
          <w:marRight w:val="0"/>
          <w:marTop w:val="0"/>
          <w:marBottom w:val="0"/>
          <w:divBdr>
            <w:top w:val="none" w:sz="0" w:space="0" w:color="auto"/>
            <w:left w:val="none" w:sz="0" w:space="0" w:color="auto"/>
            <w:bottom w:val="none" w:sz="0" w:space="0" w:color="auto"/>
            <w:right w:val="none" w:sz="0" w:space="0" w:color="auto"/>
          </w:divBdr>
        </w:div>
        <w:div w:id="1988196443">
          <w:marLeft w:val="1886"/>
          <w:marRight w:val="0"/>
          <w:marTop w:val="0"/>
          <w:marBottom w:val="0"/>
          <w:divBdr>
            <w:top w:val="none" w:sz="0" w:space="0" w:color="auto"/>
            <w:left w:val="none" w:sz="0" w:space="0" w:color="auto"/>
            <w:bottom w:val="none" w:sz="0" w:space="0" w:color="auto"/>
            <w:right w:val="none" w:sz="0" w:space="0" w:color="auto"/>
          </w:divBdr>
        </w:div>
        <w:div w:id="1337343742">
          <w:marLeft w:val="1886"/>
          <w:marRight w:val="0"/>
          <w:marTop w:val="0"/>
          <w:marBottom w:val="0"/>
          <w:divBdr>
            <w:top w:val="none" w:sz="0" w:space="0" w:color="auto"/>
            <w:left w:val="none" w:sz="0" w:space="0" w:color="auto"/>
            <w:bottom w:val="none" w:sz="0" w:space="0" w:color="auto"/>
            <w:right w:val="none" w:sz="0" w:space="0" w:color="auto"/>
          </w:divBdr>
        </w:div>
        <w:div w:id="2135635270">
          <w:marLeft w:val="1886"/>
          <w:marRight w:val="0"/>
          <w:marTop w:val="0"/>
          <w:marBottom w:val="0"/>
          <w:divBdr>
            <w:top w:val="none" w:sz="0" w:space="0" w:color="auto"/>
            <w:left w:val="none" w:sz="0" w:space="0" w:color="auto"/>
            <w:bottom w:val="none" w:sz="0" w:space="0" w:color="auto"/>
            <w:right w:val="none" w:sz="0" w:space="0" w:color="auto"/>
          </w:divBdr>
        </w:div>
        <w:div w:id="1101142040">
          <w:marLeft w:val="1166"/>
          <w:marRight w:val="0"/>
          <w:marTop w:val="0"/>
          <w:marBottom w:val="0"/>
          <w:divBdr>
            <w:top w:val="none" w:sz="0" w:space="0" w:color="auto"/>
            <w:left w:val="none" w:sz="0" w:space="0" w:color="auto"/>
            <w:bottom w:val="none" w:sz="0" w:space="0" w:color="auto"/>
            <w:right w:val="none" w:sz="0" w:space="0" w:color="auto"/>
          </w:divBdr>
        </w:div>
        <w:div w:id="1880704138">
          <w:marLeft w:val="1886"/>
          <w:marRight w:val="0"/>
          <w:marTop w:val="0"/>
          <w:marBottom w:val="0"/>
          <w:divBdr>
            <w:top w:val="none" w:sz="0" w:space="0" w:color="auto"/>
            <w:left w:val="none" w:sz="0" w:space="0" w:color="auto"/>
            <w:bottom w:val="none" w:sz="0" w:space="0" w:color="auto"/>
            <w:right w:val="none" w:sz="0" w:space="0" w:color="auto"/>
          </w:divBdr>
        </w:div>
        <w:div w:id="611059219">
          <w:marLeft w:val="1886"/>
          <w:marRight w:val="0"/>
          <w:marTop w:val="0"/>
          <w:marBottom w:val="0"/>
          <w:divBdr>
            <w:top w:val="none" w:sz="0" w:space="0" w:color="auto"/>
            <w:left w:val="none" w:sz="0" w:space="0" w:color="auto"/>
            <w:bottom w:val="none" w:sz="0" w:space="0" w:color="auto"/>
            <w:right w:val="none" w:sz="0" w:space="0" w:color="auto"/>
          </w:divBdr>
        </w:div>
        <w:div w:id="141504966">
          <w:marLeft w:val="1886"/>
          <w:marRight w:val="0"/>
          <w:marTop w:val="0"/>
          <w:marBottom w:val="0"/>
          <w:divBdr>
            <w:top w:val="none" w:sz="0" w:space="0" w:color="auto"/>
            <w:left w:val="none" w:sz="0" w:space="0" w:color="auto"/>
            <w:bottom w:val="none" w:sz="0" w:space="0" w:color="auto"/>
            <w:right w:val="none" w:sz="0" w:space="0" w:color="auto"/>
          </w:divBdr>
        </w:div>
        <w:div w:id="1772358692">
          <w:marLeft w:val="1166"/>
          <w:marRight w:val="0"/>
          <w:marTop w:val="0"/>
          <w:marBottom w:val="0"/>
          <w:divBdr>
            <w:top w:val="none" w:sz="0" w:space="0" w:color="auto"/>
            <w:left w:val="none" w:sz="0" w:space="0" w:color="auto"/>
            <w:bottom w:val="none" w:sz="0" w:space="0" w:color="auto"/>
            <w:right w:val="none" w:sz="0" w:space="0" w:color="auto"/>
          </w:divBdr>
        </w:div>
        <w:div w:id="1342858892">
          <w:marLeft w:val="1886"/>
          <w:marRight w:val="0"/>
          <w:marTop w:val="0"/>
          <w:marBottom w:val="0"/>
          <w:divBdr>
            <w:top w:val="none" w:sz="0" w:space="0" w:color="auto"/>
            <w:left w:val="none" w:sz="0" w:space="0" w:color="auto"/>
            <w:bottom w:val="none" w:sz="0" w:space="0" w:color="auto"/>
            <w:right w:val="none" w:sz="0" w:space="0" w:color="auto"/>
          </w:divBdr>
        </w:div>
        <w:div w:id="1484346129">
          <w:marLeft w:val="1886"/>
          <w:marRight w:val="0"/>
          <w:marTop w:val="0"/>
          <w:marBottom w:val="0"/>
          <w:divBdr>
            <w:top w:val="none" w:sz="0" w:space="0" w:color="auto"/>
            <w:left w:val="none" w:sz="0" w:space="0" w:color="auto"/>
            <w:bottom w:val="none" w:sz="0" w:space="0" w:color="auto"/>
            <w:right w:val="none" w:sz="0" w:space="0" w:color="auto"/>
          </w:divBdr>
        </w:div>
        <w:div w:id="342324111">
          <w:marLeft w:val="1886"/>
          <w:marRight w:val="0"/>
          <w:marTop w:val="0"/>
          <w:marBottom w:val="0"/>
          <w:divBdr>
            <w:top w:val="none" w:sz="0" w:space="0" w:color="auto"/>
            <w:left w:val="none" w:sz="0" w:space="0" w:color="auto"/>
            <w:bottom w:val="none" w:sz="0" w:space="0" w:color="auto"/>
            <w:right w:val="none" w:sz="0" w:space="0" w:color="auto"/>
          </w:divBdr>
        </w:div>
      </w:divsChild>
    </w:div>
    <w:div w:id="1778211046">
      <w:bodyDiv w:val="1"/>
      <w:marLeft w:val="0"/>
      <w:marRight w:val="0"/>
      <w:marTop w:val="0"/>
      <w:marBottom w:val="0"/>
      <w:divBdr>
        <w:top w:val="none" w:sz="0" w:space="0" w:color="auto"/>
        <w:left w:val="none" w:sz="0" w:space="0" w:color="auto"/>
        <w:bottom w:val="none" w:sz="0" w:space="0" w:color="auto"/>
        <w:right w:val="none" w:sz="0" w:space="0" w:color="auto"/>
      </w:divBdr>
      <w:divsChild>
        <w:div w:id="271211567">
          <w:marLeft w:val="446"/>
          <w:marRight w:val="0"/>
          <w:marTop w:val="0"/>
          <w:marBottom w:val="0"/>
          <w:divBdr>
            <w:top w:val="none" w:sz="0" w:space="0" w:color="auto"/>
            <w:left w:val="none" w:sz="0" w:space="0" w:color="auto"/>
            <w:bottom w:val="none" w:sz="0" w:space="0" w:color="auto"/>
            <w:right w:val="none" w:sz="0" w:space="0" w:color="auto"/>
          </w:divBdr>
        </w:div>
        <w:div w:id="440221305">
          <w:marLeft w:val="1267"/>
          <w:marRight w:val="0"/>
          <w:marTop w:val="0"/>
          <w:marBottom w:val="0"/>
          <w:divBdr>
            <w:top w:val="none" w:sz="0" w:space="0" w:color="auto"/>
            <w:left w:val="none" w:sz="0" w:space="0" w:color="auto"/>
            <w:bottom w:val="none" w:sz="0" w:space="0" w:color="auto"/>
            <w:right w:val="none" w:sz="0" w:space="0" w:color="auto"/>
          </w:divBdr>
        </w:div>
        <w:div w:id="1397703163">
          <w:marLeft w:val="1267"/>
          <w:marRight w:val="0"/>
          <w:marTop w:val="0"/>
          <w:marBottom w:val="0"/>
          <w:divBdr>
            <w:top w:val="none" w:sz="0" w:space="0" w:color="auto"/>
            <w:left w:val="none" w:sz="0" w:space="0" w:color="auto"/>
            <w:bottom w:val="none" w:sz="0" w:space="0" w:color="auto"/>
            <w:right w:val="none" w:sz="0" w:space="0" w:color="auto"/>
          </w:divBdr>
        </w:div>
        <w:div w:id="603225091">
          <w:marLeft w:val="1886"/>
          <w:marRight w:val="0"/>
          <w:marTop w:val="0"/>
          <w:marBottom w:val="0"/>
          <w:divBdr>
            <w:top w:val="none" w:sz="0" w:space="0" w:color="auto"/>
            <w:left w:val="none" w:sz="0" w:space="0" w:color="auto"/>
            <w:bottom w:val="none" w:sz="0" w:space="0" w:color="auto"/>
            <w:right w:val="none" w:sz="0" w:space="0" w:color="auto"/>
          </w:divBdr>
        </w:div>
        <w:div w:id="592054767">
          <w:marLeft w:val="1886"/>
          <w:marRight w:val="0"/>
          <w:marTop w:val="0"/>
          <w:marBottom w:val="0"/>
          <w:divBdr>
            <w:top w:val="none" w:sz="0" w:space="0" w:color="auto"/>
            <w:left w:val="none" w:sz="0" w:space="0" w:color="auto"/>
            <w:bottom w:val="none" w:sz="0" w:space="0" w:color="auto"/>
            <w:right w:val="none" w:sz="0" w:space="0" w:color="auto"/>
          </w:divBdr>
        </w:div>
        <w:div w:id="264654972">
          <w:marLeft w:val="1267"/>
          <w:marRight w:val="0"/>
          <w:marTop w:val="0"/>
          <w:marBottom w:val="0"/>
          <w:divBdr>
            <w:top w:val="none" w:sz="0" w:space="0" w:color="auto"/>
            <w:left w:val="none" w:sz="0" w:space="0" w:color="auto"/>
            <w:bottom w:val="none" w:sz="0" w:space="0" w:color="auto"/>
            <w:right w:val="none" w:sz="0" w:space="0" w:color="auto"/>
          </w:divBdr>
        </w:div>
        <w:div w:id="620186839">
          <w:marLeft w:val="1886"/>
          <w:marRight w:val="0"/>
          <w:marTop w:val="0"/>
          <w:marBottom w:val="0"/>
          <w:divBdr>
            <w:top w:val="none" w:sz="0" w:space="0" w:color="auto"/>
            <w:left w:val="none" w:sz="0" w:space="0" w:color="auto"/>
            <w:bottom w:val="none" w:sz="0" w:space="0" w:color="auto"/>
            <w:right w:val="none" w:sz="0" w:space="0" w:color="auto"/>
          </w:divBdr>
        </w:div>
        <w:div w:id="770471277">
          <w:marLeft w:val="1886"/>
          <w:marRight w:val="0"/>
          <w:marTop w:val="0"/>
          <w:marBottom w:val="0"/>
          <w:divBdr>
            <w:top w:val="none" w:sz="0" w:space="0" w:color="auto"/>
            <w:left w:val="none" w:sz="0" w:space="0" w:color="auto"/>
            <w:bottom w:val="none" w:sz="0" w:space="0" w:color="auto"/>
            <w:right w:val="none" w:sz="0" w:space="0" w:color="auto"/>
          </w:divBdr>
        </w:div>
        <w:div w:id="179399841">
          <w:marLeft w:val="1267"/>
          <w:marRight w:val="0"/>
          <w:marTop w:val="0"/>
          <w:marBottom w:val="0"/>
          <w:divBdr>
            <w:top w:val="none" w:sz="0" w:space="0" w:color="auto"/>
            <w:left w:val="none" w:sz="0" w:space="0" w:color="auto"/>
            <w:bottom w:val="none" w:sz="0" w:space="0" w:color="auto"/>
            <w:right w:val="none" w:sz="0" w:space="0" w:color="auto"/>
          </w:divBdr>
        </w:div>
        <w:div w:id="915557967">
          <w:marLeft w:val="1886"/>
          <w:marRight w:val="0"/>
          <w:marTop w:val="0"/>
          <w:marBottom w:val="0"/>
          <w:divBdr>
            <w:top w:val="none" w:sz="0" w:space="0" w:color="auto"/>
            <w:left w:val="none" w:sz="0" w:space="0" w:color="auto"/>
            <w:bottom w:val="none" w:sz="0" w:space="0" w:color="auto"/>
            <w:right w:val="none" w:sz="0" w:space="0" w:color="auto"/>
          </w:divBdr>
        </w:div>
        <w:div w:id="1551064748">
          <w:marLeft w:val="1267"/>
          <w:marRight w:val="0"/>
          <w:marTop w:val="0"/>
          <w:marBottom w:val="0"/>
          <w:divBdr>
            <w:top w:val="none" w:sz="0" w:space="0" w:color="auto"/>
            <w:left w:val="none" w:sz="0" w:space="0" w:color="auto"/>
            <w:bottom w:val="none" w:sz="0" w:space="0" w:color="auto"/>
            <w:right w:val="none" w:sz="0" w:space="0" w:color="auto"/>
          </w:divBdr>
        </w:div>
        <w:div w:id="1109160340">
          <w:marLeft w:val="446"/>
          <w:marRight w:val="0"/>
          <w:marTop w:val="0"/>
          <w:marBottom w:val="0"/>
          <w:divBdr>
            <w:top w:val="none" w:sz="0" w:space="0" w:color="auto"/>
            <w:left w:val="none" w:sz="0" w:space="0" w:color="auto"/>
            <w:bottom w:val="none" w:sz="0" w:space="0" w:color="auto"/>
            <w:right w:val="none" w:sz="0" w:space="0" w:color="auto"/>
          </w:divBdr>
        </w:div>
        <w:div w:id="1122959817">
          <w:marLeft w:val="1166"/>
          <w:marRight w:val="0"/>
          <w:marTop w:val="0"/>
          <w:marBottom w:val="0"/>
          <w:divBdr>
            <w:top w:val="none" w:sz="0" w:space="0" w:color="auto"/>
            <w:left w:val="none" w:sz="0" w:space="0" w:color="auto"/>
            <w:bottom w:val="none" w:sz="0" w:space="0" w:color="auto"/>
            <w:right w:val="none" w:sz="0" w:space="0" w:color="auto"/>
          </w:divBdr>
        </w:div>
        <w:div w:id="35933873">
          <w:marLeft w:val="1886"/>
          <w:marRight w:val="0"/>
          <w:marTop w:val="0"/>
          <w:marBottom w:val="0"/>
          <w:divBdr>
            <w:top w:val="none" w:sz="0" w:space="0" w:color="auto"/>
            <w:left w:val="none" w:sz="0" w:space="0" w:color="auto"/>
            <w:bottom w:val="none" w:sz="0" w:space="0" w:color="auto"/>
            <w:right w:val="none" w:sz="0" w:space="0" w:color="auto"/>
          </w:divBdr>
        </w:div>
        <w:div w:id="1695031254">
          <w:marLeft w:val="1886"/>
          <w:marRight w:val="0"/>
          <w:marTop w:val="0"/>
          <w:marBottom w:val="0"/>
          <w:divBdr>
            <w:top w:val="none" w:sz="0" w:space="0" w:color="auto"/>
            <w:left w:val="none" w:sz="0" w:space="0" w:color="auto"/>
            <w:bottom w:val="none" w:sz="0" w:space="0" w:color="auto"/>
            <w:right w:val="none" w:sz="0" w:space="0" w:color="auto"/>
          </w:divBdr>
        </w:div>
        <w:div w:id="756093754">
          <w:marLeft w:val="1886"/>
          <w:marRight w:val="0"/>
          <w:marTop w:val="0"/>
          <w:marBottom w:val="0"/>
          <w:divBdr>
            <w:top w:val="none" w:sz="0" w:space="0" w:color="auto"/>
            <w:left w:val="none" w:sz="0" w:space="0" w:color="auto"/>
            <w:bottom w:val="none" w:sz="0" w:space="0" w:color="auto"/>
            <w:right w:val="none" w:sz="0" w:space="0" w:color="auto"/>
          </w:divBdr>
        </w:div>
        <w:div w:id="1802264267">
          <w:marLeft w:val="1166"/>
          <w:marRight w:val="0"/>
          <w:marTop w:val="0"/>
          <w:marBottom w:val="0"/>
          <w:divBdr>
            <w:top w:val="none" w:sz="0" w:space="0" w:color="auto"/>
            <w:left w:val="none" w:sz="0" w:space="0" w:color="auto"/>
            <w:bottom w:val="none" w:sz="0" w:space="0" w:color="auto"/>
            <w:right w:val="none" w:sz="0" w:space="0" w:color="auto"/>
          </w:divBdr>
        </w:div>
        <w:div w:id="884832352">
          <w:marLeft w:val="1886"/>
          <w:marRight w:val="0"/>
          <w:marTop w:val="0"/>
          <w:marBottom w:val="0"/>
          <w:divBdr>
            <w:top w:val="none" w:sz="0" w:space="0" w:color="auto"/>
            <w:left w:val="none" w:sz="0" w:space="0" w:color="auto"/>
            <w:bottom w:val="none" w:sz="0" w:space="0" w:color="auto"/>
            <w:right w:val="none" w:sz="0" w:space="0" w:color="auto"/>
          </w:divBdr>
        </w:div>
        <w:div w:id="1692024048">
          <w:marLeft w:val="1886"/>
          <w:marRight w:val="0"/>
          <w:marTop w:val="0"/>
          <w:marBottom w:val="0"/>
          <w:divBdr>
            <w:top w:val="none" w:sz="0" w:space="0" w:color="auto"/>
            <w:left w:val="none" w:sz="0" w:space="0" w:color="auto"/>
            <w:bottom w:val="none" w:sz="0" w:space="0" w:color="auto"/>
            <w:right w:val="none" w:sz="0" w:space="0" w:color="auto"/>
          </w:divBdr>
        </w:div>
        <w:div w:id="1995523322">
          <w:marLeft w:val="1886"/>
          <w:marRight w:val="0"/>
          <w:marTop w:val="0"/>
          <w:marBottom w:val="0"/>
          <w:divBdr>
            <w:top w:val="none" w:sz="0" w:space="0" w:color="auto"/>
            <w:left w:val="none" w:sz="0" w:space="0" w:color="auto"/>
            <w:bottom w:val="none" w:sz="0" w:space="0" w:color="auto"/>
            <w:right w:val="none" w:sz="0" w:space="0" w:color="auto"/>
          </w:divBdr>
        </w:div>
        <w:div w:id="165950501">
          <w:marLeft w:val="1166"/>
          <w:marRight w:val="0"/>
          <w:marTop w:val="0"/>
          <w:marBottom w:val="0"/>
          <w:divBdr>
            <w:top w:val="none" w:sz="0" w:space="0" w:color="auto"/>
            <w:left w:val="none" w:sz="0" w:space="0" w:color="auto"/>
            <w:bottom w:val="none" w:sz="0" w:space="0" w:color="auto"/>
            <w:right w:val="none" w:sz="0" w:space="0" w:color="auto"/>
          </w:divBdr>
        </w:div>
        <w:div w:id="780151676">
          <w:marLeft w:val="1886"/>
          <w:marRight w:val="0"/>
          <w:marTop w:val="0"/>
          <w:marBottom w:val="0"/>
          <w:divBdr>
            <w:top w:val="none" w:sz="0" w:space="0" w:color="auto"/>
            <w:left w:val="none" w:sz="0" w:space="0" w:color="auto"/>
            <w:bottom w:val="none" w:sz="0" w:space="0" w:color="auto"/>
            <w:right w:val="none" w:sz="0" w:space="0" w:color="auto"/>
          </w:divBdr>
        </w:div>
        <w:div w:id="1629357764">
          <w:marLeft w:val="1886"/>
          <w:marRight w:val="0"/>
          <w:marTop w:val="0"/>
          <w:marBottom w:val="0"/>
          <w:divBdr>
            <w:top w:val="none" w:sz="0" w:space="0" w:color="auto"/>
            <w:left w:val="none" w:sz="0" w:space="0" w:color="auto"/>
            <w:bottom w:val="none" w:sz="0" w:space="0" w:color="auto"/>
            <w:right w:val="none" w:sz="0" w:space="0" w:color="auto"/>
          </w:divBdr>
        </w:div>
        <w:div w:id="906186723">
          <w:marLeft w:val="1886"/>
          <w:marRight w:val="0"/>
          <w:marTop w:val="0"/>
          <w:marBottom w:val="0"/>
          <w:divBdr>
            <w:top w:val="none" w:sz="0" w:space="0" w:color="auto"/>
            <w:left w:val="none" w:sz="0" w:space="0" w:color="auto"/>
            <w:bottom w:val="none" w:sz="0" w:space="0" w:color="auto"/>
            <w:right w:val="none" w:sz="0" w:space="0" w:color="auto"/>
          </w:divBdr>
        </w:div>
      </w:divsChild>
    </w:div>
    <w:div w:id="1835296470">
      <w:bodyDiv w:val="1"/>
      <w:marLeft w:val="0"/>
      <w:marRight w:val="0"/>
      <w:marTop w:val="0"/>
      <w:marBottom w:val="0"/>
      <w:divBdr>
        <w:top w:val="none" w:sz="0" w:space="0" w:color="auto"/>
        <w:left w:val="none" w:sz="0" w:space="0" w:color="auto"/>
        <w:bottom w:val="none" w:sz="0" w:space="0" w:color="auto"/>
        <w:right w:val="none" w:sz="0" w:space="0" w:color="auto"/>
      </w:divBdr>
    </w:div>
    <w:div w:id="1955864547">
      <w:bodyDiv w:val="1"/>
      <w:marLeft w:val="0"/>
      <w:marRight w:val="0"/>
      <w:marTop w:val="0"/>
      <w:marBottom w:val="0"/>
      <w:divBdr>
        <w:top w:val="none" w:sz="0" w:space="0" w:color="auto"/>
        <w:left w:val="none" w:sz="0" w:space="0" w:color="auto"/>
        <w:bottom w:val="none" w:sz="0" w:space="0" w:color="auto"/>
        <w:right w:val="none" w:sz="0" w:space="0" w:color="auto"/>
      </w:divBdr>
      <w:divsChild>
        <w:div w:id="698238296">
          <w:marLeft w:val="446"/>
          <w:marRight w:val="0"/>
          <w:marTop w:val="0"/>
          <w:marBottom w:val="0"/>
          <w:divBdr>
            <w:top w:val="none" w:sz="0" w:space="0" w:color="auto"/>
            <w:left w:val="none" w:sz="0" w:space="0" w:color="auto"/>
            <w:bottom w:val="none" w:sz="0" w:space="0" w:color="auto"/>
            <w:right w:val="none" w:sz="0" w:space="0" w:color="auto"/>
          </w:divBdr>
        </w:div>
        <w:div w:id="673608840">
          <w:marLeft w:val="446"/>
          <w:marRight w:val="0"/>
          <w:marTop w:val="0"/>
          <w:marBottom w:val="0"/>
          <w:divBdr>
            <w:top w:val="none" w:sz="0" w:space="0" w:color="auto"/>
            <w:left w:val="none" w:sz="0" w:space="0" w:color="auto"/>
            <w:bottom w:val="none" w:sz="0" w:space="0" w:color="auto"/>
            <w:right w:val="none" w:sz="0" w:space="0" w:color="auto"/>
          </w:divBdr>
        </w:div>
        <w:div w:id="120460030">
          <w:marLeft w:val="1166"/>
          <w:marRight w:val="0"/>
          <w:marTop w:val="0"/>
          <w:marBottom w:val="0"/>
          <w:divBdr>
            <w:top w:val="none" w:sz="0" w:space="0" w:color="auto"/>
            <w:left w:val="none" w:sz="0" w:space="0" w:color="auto"/>
            <w:bottom w:val="none" w:sz="0" w:space="0" w:color="auto"/>
            <w:right w:val="none" w:sz="0" w:space="0" w:color="auto"/>
          </w:divBdr>
        </w:div>
        <w:div w:id="1683120872">
          <w:marLeft w:val="1886"/>
          <w:marRight w:val="0"/>
          <w:marTop w:val="0"/>
          <w:marBottom w:val="0"/>
          <w:divBdr>
            <w:top w:val="none" w:sz="0" w:space="0" w:color="auto"/>
            <w:left w:val="none" w:sz="0" w:space="0" w:color="auto"/>
            <w:bottom w:val="none" w:sz="0" w:space="0" w:color="auto"/>
            <w:right w:val="none" w:sz="0" w:space="0" w:color="auto"/>
          </w:divBdr>
        </w:div>
        <w:div w:id="128517835">
          <w:marLeft w:val="1886"/>
          <w:marRight w:val="0"/>
          <w:marTop w:val="0"/>
          <w:marBottom w:val="0"/>
          <w:divBdr>
            <w:top w:val="none" w:sz="0" w:space="0" w:color="auto"/>
            <w:left w:val="none" w:sz="0" w:space="0" w:color="auto"/>
            <w:bottom w:val="none" w:sz="0" w:space="0" w:color="auto"/>
            <w:right w:val="none" w:sz="0" w:space="0" w:color="auto"/>
          </w:divBdr>
        </w:div>
        <w:div w:id="1369723480">
          <w:marLeft w:val="1886"/>
          <w:marRight w:val="0"/>
          <w:marTop w:val="0"/>
          <w:marBottom w:val="0"/>
          <w:divBdr>
            <w:top w:val="none" w:sz="0" w:space="0" w:color="auto"/>
            <w:left w:val="none" w:sz="0" w:space="0" w:color="auto"/>
            <w:bottom w:val="none" w:sz="0" w:space="0" w:color="auto"/>
            <w:right w:val="none" w:sz="0" w:space="0" w:color="auto"/>
          </w:divBdr>
        </w:div>
        <w:div w:id="2046638492">
          <w:marLeft w:val="446"/>
          <w:marRight w:val="0"/>
          <w:marTop w:val="0"/>
          <w:marBottom w:val="0"/>
          <w:divBdr>
            <w:top w:val="none" w:sz="0" w:space="0" w:color="auto"/>
            <w:left w:val="none" w:sz="0" w:space="0" w:color="auto"/>
            <w:bottom w:val="none" w:sz="0" w:space="0" w:color="auto"/>
            <w:right w:val="none" w:sz="0" w:space="0" w:color="auto"/>
          </w:divBdr>
        </w:div>
        <w:div w:id="1734352591">
          <w:marLeft w:val="1166"/>
          <w:marRight w:val="0"/>
          <w:marTop w:val="0"/>
          <w:marBottom w:val="0"/>
          <w:divBdr>
            <w:top w:val="none" w:sz="0" w:space="0" w:color="auto"/>
            <w:left w:val="none" w:sz="0" w:space="0" w:color="auto"/>
            <w:bottom w:val="none" w:sz="0" w:space="0" w:color="auto"/>
            <w:right w:val="none" w:sz="0" w:space="0" w:color="auto"/>
          </w:divBdr>
        </w:div>
        <w:div w:id="1844314636">
          <w:marLeft w:val="1886"/>
          <w:marRight w:val="0"/>
          <w:marTop w:val="0"/>
          <w:marBottom w:val="0"/>
          <w:divBdr>
            <w:top w:val="none" w:sz="0" w:space="0" w:color="auto"/>
            <w:left w:val="none" w:sz="0" w:space="0" w:color="auto"/>
            <w:bottom w:val="none" w:sz="0" w:space="0" w:color="auto"/>
            <w:right w:val="none" w:sz="0" w:space="0" w:color="auto"/>
          </w:divBdr>
        </w:div>
        <w:div w:id="602306066">
          <w:marLeft w:val="1886"/>
          <w:marRight w:val="0"/>
          <w:marTop w:val="0"/>
          <w:marBottom w:val="0"/>
          <w:divBdr>
            <w:top w:val="none" w:sz="0" w:space="0" w:color="auto"/>
            <w:left w:val="none" w:sz="0" w:space="0" w:color="auto"/>
            <w:bottom w:val="none" w:sz="0" w:space="0" w:color="auto"/>
            <w:right w:val="none" w:sz="0" w:space="0" w:color="auto"/>
          </w:divBdr>
        </w:div>
        <w:div w:id="165706372">
          <w:marLeft w:val="2606"/>
          <w:marRight w:val="0"/>
          <w:marTop w:val="0"/>
          <w:marBottom w:val="0"/>
          <w:divBdr>
            <w:top w:val="none" w:sz="0" w:space="0" w:color="auto"/>
            <w:left w:val="none" w:sz="0" w:space="0" w:color="auto"/>
            <w:bottom w:val="none" w:sz="0" w:space="0" w:color="auto"/>
            <w:right w:val="none" w:sz="0" w:space="0" w:color="auto"/>
          </w:divBdr>
        </w:div>
        <w:div w:id="693460544">
          <w:marLeft w:val="1886"/>
          <w:marRight w:val="0"/>
          <w:marTop w:val="0"/>
          <w:marBottom w:val="0"/>
          <w:divBdr>
            <w:top w:val="none" w:sz="0" w:space="0" w:color="auto"/>
            <w:left w:val="none" w:sz="0" w:space="0" w:color="auto"/>
            <w:bottom w:val="none" w:sz="0" w:space="0" w:color="auto"/>
            <w:right w:val="none" w:sz="0" w:space="0" w:color="auto"/>
          </w:divBdr>
        </w:div>
        <w:div w:id="841554533">
          <w:marLeft w:val="2606"/>
          <w:marRight w:val="0"/>
          <w:marTop w:val="0"/>
          <w:marBottom w:val="0"/>
          <w:divBdr>
            <w:top w:val="none" w:sz="0" w:space="0" w:color="auto"/>
            <w:left w:val="none" w:sz="0" w:space="0" w:color="auto"/>
            <w:bottom w:val="none" w:sz="0" w:space="0" w:color="auto"/>
            <w:right w:val="none" w:sz="0" w:space="0" w:color="auto"/>
          </w:divBdr>
        </w:div>
        <w:div w:id="361513899">
          <w:marLeft w:val="3326"/>
          <w:marRight w:val="0"/>
          <w:marTop w:val="0"/>
          <w:marBottom w:val="0"/>
          <w:divBdr>
            <w:top w:val="none" w:sz="0" w:space="0" w:color="auto"/>
            <w:left w:val="none" w:sz="0" w:space="0" w:color="auto"/>
            <w:bottom w:val="none" w:sz="0" w:space="0" w:color="auto"/>
            <w:right w:val="none" w:sz="0" w:space="0" w:color="auto"/>
          </w:divBdr>
        </w:div>
        <w:div w:id="655230946">
          <w:marLeft w:val="4046"/>
          <w:marRight w:val="0"/>
          <w:marTop w:val="0"/>
          <w:marBottom w:val="0"/>
          <w:divBdr>
            <w:top w:val="none" w:sz="0" w:space="0" w:color="auto"/>
            <w:left w:val="none" w:sz="0" w:space="0" w:color="auto"/>
            <w:bottom w:val="none" w:sz="0" w:space="0" w:color="auto"/>
            <w:right w:val="none" w:sz="0" w:space="0" w:color="auto"/>
          </w:divBdr>
        </w:div>
      </w:divsChild>
    </w:div>
    <w:div w:id="1992560601">
      <w:bodyDiv w:val="1"/>
      <w:marLeft w:val="0"/>
      <w:marRight w:val="0"/>
      <w:marTop w:val="0"/>
      <w:marBottom w:val="0"/>
      <w:divBdr>
        <w:top w:val="none" w:sz="0" w:space="0" w:color="auto"/>
        <w:left w:val="none" w:sz="0" w:space="0" w:color="auto"/>
        <w:bottom w:val="none" w:sz="0" w:space="0" w:color="auto"/>
        <w:right w:val="none" w:sz="0" w:space="0" w:color="auto"/>
      </w:divBdr>
      <w:divsChild>
        <w:div w:id="1468937594">
          <w:marLeft w:val="446"/>
          <w:marRight w:val="0"/>
          <w:marTop w:val="0"/>
          <w:marBottom w:val="0"/>
          <w:divBdr>
            <w:top w:val="none" w:sz="0" w:space="0" w:color="auto"/>
            <w:left w:val="none" w:sz="0" w:space="0" w:color="auto"/>
            <w:bottom w:val="none" w:sz="0" w:space="0" w:color="auto"/>
            <w:right w:val="none" w:sz="0" w:space="0" w:color="auto"/>
          </w:divBdr>
        </w:div>
        <w:div w:id="790200082">
          <w:marLeft w:val="1267"/>
          <w:marRight w:val="0"/>
          <w:marTop w:val="0"/>
          <w:marBottom w:val="0"/>
          <w:divBdr>
            <w:top w:val="none" w:sz="0" w:space="0" w:color="auto"/>
            <w:left w:val="none" w:sz="0" w:space="0" w:color="auto"/>
            <w:bottom w:val="none" w:sz="0" w:space="0" w:color="auto"/>
            <w:right w:val="none" w:sz="0" w:space="0" w:color="auto"/>
          </w:divBdr>
        </w:div>
        <w:div w:id="371149504">
          <w:marLeft w:val="1267"/>
          <w:marRight w:val="0"/>
          <w:marTop w:val="0"/>
          <w:marBottom w:val="0"/>
          <w:divBdr>
            <w:top w:val="none" w:sz="0" w:space="0" w:color="auto"/>
            <w:left w:val="none" w:sz="0" w:space="0" w:color="auto"/>
            <w:bottom w:val="none" w:sz="0" w:space="0" w:color="auto"/>
            <w:right w:val="none" w:sz="0" w:space="0" w:color="auto"/>
          </w:divBdr>
        </w:div>
        <w:div w:id="1635405782">
          <w:marLeft w:val="1886"/>
          <w:marRight w:val="0"/>
          <w:marTop w:val="0"/>
          <w:marBottom w:val="0"/>
          <w:divBdr>
            <w:top w:val="none" w:sz="0" w:space="0" w:color="auto"/>
            <w:left w:val="none" w:sz="0" w:space="0" w:color="auto"/>
            <w:bottom w:val="none" w:sz="0" w:space="0" w:color="auto"/>
            <w:right w:val="none" w:sz="0" w:space="0" w:color="auto"/>
          </w:divBdr>
        </w:div>
        <w:div w:id="40835734">
          <w:marLeft w:val="1886"/>
          <w:marRight w:val="0"/>
          <w:marTop w:val="0"/>
          <w:marBottom w:val="0"/>
          <w:divBdr>
            <w:top w:val="none" w:sz="0" w:space="0" w:color="auto"/>
            <w:left w:val="none" w:sz="0" w:space="0" w:color="auto"/>
            <w:bottom w:val="none" w:sz="0" w:space="0" w:color="auto"/>
            <w:right w:val="none" w:sz="0" w:space="0" w:color="auto"/>
          </w:divBdr>
        </w:div>
        <w:div w:id="1257052318">
          <w:marLeft w:val="1267"/>
          <w:marRight w:val="0"/>
          <w:marTop w:val="0"/>
          <w:marBottom w:val="0"/>
          <w:divBdr>
            <w:top w:val="none" w:sz="0" w:space="0" w:color="auto"/>
            <w:left w:val="none" w:sz="0" w:space="0" w:color="auto"/>
            <w:bottom w:val="none" w:sz="0" w:space="0" w:color="auto"/>
            <w:right w:val="none" w:sz="0" w:space="0" w:color="auto"/>
          </w:divBdr>
        </w:div>
        <w:div w:id="1654211957">
          <w:marLeft w:val="1886"/>
          <w:marRight w:val="0"/>
          <w:marTop w:val="0"/>
          <w:marBottom w:val="0"/>
          <w:divBdr>
            <w:top w:val="none" w:sz="0" w:space="0" w:color="auto"/>
            <w:left w:val="none" w:sz="0" w:space="0" w:color="auto"/>
            <w:bottom w:val="none" w:sz="0" w:space="0" w:color="auto"/>
            <w:right w:val="none" w:sz="0" w:space="0" w:color="auto"/>
          </w:divBdr>
        </w:div>
        <w:div w:id="1466237014">
          <w:marLeft w:val="1886"/>
          <w:marRight w:val="0"/>
          <w:marTop w:val="0"/>
          <w:marBottom w:val="0"/>
          <w:divBdr>
            <w:top w:val="none" w:sz="0" w:space="0" w:color="auto"/>
            <w:left w:val="none" w:sz="0" w:space="0" w:color="auto"/>
            <w:bottom w:val="none" w:sz="0" w:space="0" w:color="auto"/>
            <w:right w:val="none" w:sz="0" w:space="0" w:color="auto"/>
          </w:divBdr>
        </w:div>
        <w:div w:id="1128546889">
          <w:marLeft w:val="1267"/>
          <w:marRight w:val="0"/>
          <w:marTop w:val="0"/>
          <w:marBottom w:val="0"/>
          <w:divBdr>
            <w:top w:val="none" w:sz="0" w:space="0" w:color="auto"/>
            <w:left w:val="none" w:sz="0" w:space="0" w:color="auto"/>
            <w:bottom w:val="none" w:sz="0" w:space="0" w:color="auto"/>
            <w:right w:val="none" w:sz="0" w:space="0" w:color="auto"/>
          </w:divBdr>
        </w:div>
        <w:div w:id="253058315">
          <w:marLeft w:val="1886"/>
          <w:marRight w:val="0"/>
          <w:marTop w:val="0"/>
          <w:marBottom w:val="0"/>
          <w:divBdr>
            <w:top w:val="none" w:sz="0" w:space="0" w:color="auto"/>
            <w:left w:val="none" w:sz="0" w:space="0" w:color="auto"/>
            <w:bottom w:val="none" w:sz="0" w:space="0" w:color="auto"/>
            <w:right w:val="none" w:sz="0" w:space="0" w:color="auto"/>
          </w:divBdr>
        </w:div>
        <w:div w:id="1565603069">
          <w:marLeft w:val="1267"/>
          <w:marRight w:val="0"/>
          <w:marTop w:val="0"/>
          <w:marBottom w:val="0"/>
          <w:divBdr>
            <w:top w:val="none" w:sz="0" w:space="0" w:color="auto"/>
            <w:left w:val="none" w:sz="0" w:space="0" w:color="auto"/>
            <w:bottom w:val="none" w:sz="0" w:space="0" w:color="auto"/>
            <w:right w:val="none" w:sz="0" w:space="0" w:color="auto"/>
          </w:divBdr>
        </w:div>
        <w:div w:id="590315513">
          <w:marLeft w:val="446"/>
          <w:marRight w:val="0"/>
          <w:marTop w:val="0"/>
          <w:marBottom w:val="0"/>
          <w:divBdr>
            <w:top w:val="none" w:sz="0" w:space="0" w:color="auto"/>
            <w:left w:val="none" w:sz="0" w:space="0" w:color="auto"/>
            <w:bottom w:val="none" w:sz="0" w:space="0" w:color="auto"/>
            <w:right w:val="none" w:sz="0" w:space="0" w:color="auto"/>
          </w:divBdr>
        </w:div>
        <w:div w:id="1263687007">
          <w:marLeft w:val="1166"/>
          <w:marRight w:val="0"/>
          <w:marTop w:val="0"/>
          <w:marBottom w:val="0"/>
          <w:divBdr>
            <w:top w:val="none" w:sz="0" w:space="0" w:color="auto"/>
            <w:left w:val="none" w:sz="0" w:space="0" w:color="auto"/>
            <w:bottom w:val="none" w:sz="0" w:space="0" w:color="auto"/>
            <w:right w:val="none" w:sz="0" w:space="0" w:color="auto"/>
          </w:divBdr>
        </w:div>
        <w:div w:id="2078088203">
          <w:marLeft w:val="1886"/>
          <w:marRight w:val="0"/>
          <w:marTop w:val="0"/>
          <w:marBottom w:val="0"/>
          <w:divBdr>
            <w:top w:val="none" w:sz="0" w:space="0" w:color="auto"/>
            <w:left w:val="none" w:sz="0" w:space="0" w:color="auto"/>
            <w:bottom w:val="none" w:sz="0" w:space="0" w:color="auto"/>
            <w:right w:val="none" w:sz="0" w:space="0" w:color="auto"/>
          </w:divBdr>
        </w:div>
        <w:div w:id="240915385">
          <w:marLeft w:val="1886"/>
          <w:marRight w:val="0"/>
          <w:marTop w:val="0"/>
          <w:marBottom w:val="0"/>
          <w:divBdr>
            <w:top w:val="none" w:sz="0" w:space="0" w:color="auto"/>
            <w:left w:val="none" w:sz="0" w:space="0" w:color="auto"/>
            <w:bottom w:val="none" w:sz="0" w:space="0" w:color="auto"/>
            <w:right w:val="none" w:sz="0" w:space="0" w:color="auto"/>
          </w:divBdr>
        </w:div>
        <w:div w:id="412316206">
          <w:marLeft w:val="1886"/>
          <w:marRight w:val="0"/>
          <w:marTop w:val="0"/>
          <w:marBottom w:val="0"/>
          <w:divBdr>
            <w:top w:val="none" w:sz="0" w:space="0" w:color="auto"/>
            <w:left w:val="none" w:sz="0" w:space="0" w:color="auto"/>
            <w:bottom w:val="none" w:sz="0" w:space="0" w:color="auto"/>
            <w:right w:val="none" w:sz="0" w:space="0" w:color="auto"/>
          </w:divBdr>
        </w:div>
        <w:div w:id="1784378533">
          <w:marLeft w:val="1166"/>
          <w:marRight w:val="0"/>
          <w:marTop w:val="0"/>
          <w:marBottom w:val="0"/>
          <w:divBdr>
            <w:top w:val="none" w:sz="0" w:space="0" w:color="auto"/>
            <w:left w:val="none" w:sz="0" w:space="0" w:color="auto"/>
            <w:bottom w:val="none" w:sz="0" w:space="0" w:color="auto"/>
            <w:right w:val="none" w:sz="0" w:space="0" w:color="auto"/>
          </w:divBdr>
        </w:div>
        <w:div w:id="856894411">
          <w:marLeft w:val="1886"/>
          <w:marRight w:val="0"/>
          <w:marTop w:val="0"/>
          <w:marBottom w:val="0"/>
          <w:divBdr>
            <w:top w:val="none" w:sz="0" w:space="0" w:color="auto"/>
            <w:left w:val="none" w:sz="0" w:space="0" w:color="auto"/>
            <w:bottom w:val="none" w:sz="0" w:space="0" w:color="auto"/>
            <w:right w:val="none" w:sz="0" w:space="0" w:color="auto"/>
          </w:divBdr>
        </w:div>
        <w:div w:id="1818917807">
          <w:marLeft w:val="1886"/>
          <w:marRight w:val="0"/>
          <w:marTop w:val="0"/>
          <w:marBottom w:val="0"/>
          <w:divBdr>
            <w:top w:val="none" w:sz="0" w:space="0" w:color="auto"/>
            <w:left w:val="none" w:sz="0" w:space="0" w:color="auto"/>
            <w:bottom w:val="none" w:sz="0" w:space="0" w:color="auto"/>
            <w:right w:val="none" w:sz="0" w:space="0" w:color="auto"/>
          </w:divBdr>
        </w:div>
        <w:div w:id="273445410">
          <w:marLeft w:val="1886"/>
          <w:marRight w:val="0"/>
          <w:marTop w:val="0"/>
          <w:marBottom w:val="0"/>
          <w:divBdr>
            <w:top w:val="none" w:sz="0" w:space="0" w:color="auto"/>
            <w:left w:val="none" w:sz="0" w:space="0" w:color="auto"/>
            <w:bottom w:val="none" w:sz="0" w:space="0" w:color="auto"/>
            <w:right w:val="none" w:sz="0" w:space="0" w:color="auto"/>
          </w:divBdr>
        </w:div>
        <w:div w:id="1575579955">
          <w:marLeft w:val="1166"/>
          <w:marRight w:val="0"/>
          <w:marTop w:val="0"/>
          <w:marBottom w:val="0"/>
          <w:divBdr>
            <w:top w:val="none" w:sz="0" w:space="0" w:color="auto"/>
            <w:left w:val="none" w:sz="0" w:space="0" w:color="auto"/>
            <w:bottom w:val="none" w:sz="0" w:space="0" w:color="auto"/>
            <w:right w:val="none" w:sz="0" w:space="0" w:color="auto"/>
          </w:divBdr>
        </w:div>
        <w:div w:id="1560902725">
          <w:marLeft w:val="1886"/>
          <w:marRight w:val="0"/>
          <w:marTop w:val="0"/>
          <w:marBottom w:val="0"/>
          <w:divBdr>
            <w:top w:val="none" w:sz="0" w:space="0" w:color="auto"/>
            <w:left w:val="none" w:sz="0" w:space="0" w:color="auto"/>
            <w:bottom w:val="none" w:sz="0" w:space="0" w:color="auto"/>
            <w:right w:val="none" w:sz="0" w:space="0" w:color="auto"/>
          </w:divBdr>
        </w:div>
        <w:div w:id="1051229885">
          <w:marLeft w:val="1886"/>
          <w:marRight w:val="0"/>
          <w:marTop w:val="0"/>
          <w:marBottom w:val="0"/>
          <w:divBdr>
            <w:top w:val="none" w:sz="0" w:space="0" w:color="auto"/>
            <w:left w:val="none" w:sz="0" w:space="0" w:color="auto"/>
            <w:bottom w:val="none" w:sz="0" w:space="0" w:color="auto"/>
            <w:right w:val="none" w:sz="0" w:space="0" w:color="auto"/>
          </w:divBdr>
        </w:div>
        <w:div w:id="813907972">
          <w:marLeft w:val="1886"/>
          <w:marRight w:val="0"/>
          <w:marTop w:val="0"/>
          <w:marBottom w:val="0"/>
          <w:divBdr>
            <w:top w:val="none" w:sz="0" w:space="0" w:color="auto"/>
            <w:left w:val="none" w:sz="0" w:space="0" w:color="auto"/>
            <w:bottom w:val="none" w:sz="0" w:space="0" w:color="auto"/>
            <w:right w:val="none" w:sz="0" w:space="0" w:color="auto"/>
          </w:divBdr>
        </w:div>
      </w:divsChild>
    </w:div>
    <w:div w:id="2064255209">
      <w:bodyDiv w:val="1"/>
      <w:marLeft w:val="0"/>
      <w:marRight w:val="0"/>
      <w:marTop w:val="0"/>
      <w:marBottom w:val="0"/>
      <w:divBdr>
        <w:top w:val="none" w:sz="0" w:space="0" w:color="auto"/>
        <w:left w:val="none" w:sz="0" w:space="0" w:color="auto"/>
        <w:bottom w:val="none" w:sz="0" w:space="0" w:color="auto"/>
        <w:right w:val="none" w:sz="0" w:space="0" w:color="auto"/>
      </w:divBdr>
      <w:divsChild>
        <w:div w:id="111562884">
          <w:marLeft w:val="547"/>
          <w:marRight w:val="0"/>
          <w:marTop w:val="200"/>
          <w:marBottom w:val="0"/>
          <w:divBdr>
            <w:top w:val="none" w:sz="0" w:space="0" w:color="auto"/>
            <w:left w:val="none" w:sz="0" w:space="0" w:color="auto"/>
            <w:bottom w:val="none" w:sz="0" w:space="0" w:color="auto"/>
            <w:right w:val="none" w:sz="0" w:space="0" w:color="auto"/>
          </w:divBdr>
        </w:div>
      </w:divsChild>
    </w:div>
    <w:div w:id="2107379183">
      <w:bodyDiv w:val="1"/>
      <w:marLeft w:val="0"/>
      <w:marRight w:val="0"/>
      <w:marTop w:val="0"/>
      <w:marBottom w:val="0"/>
      <w:divBdr>
        <w:top w:val="none" w:sz="0" w:space="0" w:color="auto"/>
        <w:left w:val="none" w:sz="0" w:space="0" w:color="auto"/>
        <w:bottom w:val="none" w:sz="0" w:space="0" w:color="auto"/>
        <w:right w:val="none" w:sz="0" w:space="0" w:color="auto"/>
      </w:divBdr>
      <w:divsChild>
        <w:div w:id="2067609593">
          <w:marLeft w:val="446"/>
          <w:marRight w:val="0"/>
          <w:marTop w:val="0"/>
          <w:marBottom w:val="0"/>
          <w:divBdr>
            <w:top w:val="none" w:sz="0" w:space="0" w:color="auto"/>
            <w:left w:val="none" w:sz="0" w:space="0" w:color="auto"/>
            <w:bottom w:val="none" w:sz="0" w:space="0" w:color="auto"/>
            <w:right w:val="none" w:sz="0" w:space="0" w:color="auto"/>
          </w:divBdr>
        </w:div>
        <w:div w:id="947352452">
          <w:marLeft w:val="1166"/>
          <w:marRight w:val="0"/>
          <w:marTop w:val="0"/>
          <w:marBottom w:val="0"/>
          <w:divBdr>
            <w:top w:val="none" w:sz="0" w:space="0" w:color="auto"/>
            <w:left w:val="none" w:sz="0" w:space="0" w:color="auto"/>
            <w:bottom w:val="none" w:sz="0" w:space="0" w:color="auto"/>
            <w:right w:val="none" w:sz="0" w:space="0" w:color="auto"/>
          </w:divBdr>
        </w:div>
        <w:div w:id="1663580527">
          <w:marLeft w:val="1886"/>
          <w:marRight w:val="0"/>
          <w:marTop w:val="0"/>
          <w:marBottom w:val="0"/>
          <w:divBdr>
            <w:top w:val="none" w:sz="0" w:space="0" w:color="auto"/>
            <w:left w:val="none" w:sz="0" w:space="0" w:color="auto"/>
            <w:bottom w:val="none" w:sz="0" w:space="0" w:color="auto"/>
            <w:right w:val="none" w:sz="0" w:space="0" w:color="auto"/>
          </w:divBdr>
        </w:div>
        <w:div w:id="1597326994">
          <w:marLeft w:val="1886"/>
          <w:marRight w:val="0"/>
          <w:marTop w:val="0"/>
          <w:marBottom w:val="0"/>
          <w:divBdr>
            <w:top w:val="none" w:sz="0" w:space="0" w:color="auto"/>
            <w:left w:val="none" w:sz="0" w:space="0" w:color="auto"/>
            <w:bottom w:val="none" w:sz="0" w:space="0" w:color="auto"/>
            <w:right w:val="none" w:sz="0" w:space="0" w:color="auto"/>
          </w:divBdr>
        </w:div>
        <w:div w:id="179224379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1303</TotalTime>
  <Pages>7</Pages>
  <Words>2937</Words>
  <Characters>16741</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Naoki Fujimura</dc:creator>
  <cp:lastModifiedBy>5088271</cp:lastModifiedBy>
  <cp:revision>167</cp:revision>
  <dcterms:created xsi:type="dcterms:W3CDTF">2018-06-25T08:59:00Z</dcterms:created>
  <dcterms:modified xsi:type="dcterms:W3CDTF">2018-09-28T10:44:00Z</dcterms:modified>
</cp:coreProperties>
</file>